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9B969" w14:textId="77777777" w:rsidR="00A92935" w:rsidRPr="009D6DF9" w:rsidRDefault="00A92935" w:rsidP="0008262B">
      <w:pPr>
        <w:spacing w:after="0" w:line="240" w:lineRule="auto"/>
        <w:rPr>
          <w:rFonts w:cstheme="minorHAnsi"/>
          <w:b/>
          <w:color w:val="0070C0"/>
          <w:sz w:val="72"/>
          <w:szCs w:val="96"/>
          <w:lang w:val="en-US"/>
        </w:rPr>
      </w:pPr>
      <w:r w:rsidRPr="009D6DF9">
        <w:rPr>
          <w:rFonts w:cstheme="minorHAnsi"/>
          <w:b/>
          <w:color w:val="0070C0"/>
          <w:sz w:val="72"/>
          <w:szCs w:val="96"/>
          <w:lang w:val="en-US"/>
        </w:rPr>
        <w:t xml:space="preserve">Machina </w:t>
      </w:r>
      <w:r w:rsidRPr="003568E2">
        <w:rPr>
          <w:rFonts w:cstheme="minorHAnsi"/>
          <w:b/>
          <w:color w:val="0070C0"/>
          <w:sz w:val="72"/>
          <w:szCs w:val="96"/>
          <w:lang w:val="en-US"/>
        </w:rPr>
        <w:t>Research</w:t>
      </w:r>
    </w:p>
    <w:p w14:paraId="30CAC43E" w14:textId="77777777" w:rsidR="00A92935" w:rsidRPr="00E035D9" w:rsidRDefault="00423BB7" w:rsidP="0008262B">
      <w:pPr>
        <w:spacing w:after="0" w:line="240" w:lineRule="auto"/>
        <w:rPr>
          <w:rFonts w:cstheme="minorHAnsi"/>
          <w:b/>
          <w:color w:val="943634" w:themeColor="accent2" w:themeShade="BF"/>
          <w:sz w:val="44"/>
          <w:szCs w:val="48"/>
          <w:lang w:val="en-US"/>
        </w:rPr>
      </w:pPr>
      <w:r>
        <w:rPr>
          <w:rFonts w:cstheme="minorHAnsi"/>
          <w:b/>
          <w:color w:val="943634" w:themeColor="accent2" w:themeShade="BF"/>
          <w:sz w:val="44"/>
          <w:szCs w:val="48"/>
          <w:lang w:val="en-US"/>
        </w:rPr>
        <w:t>White Paper</w:t>
      </w:r>
    </w:p>
    <w:p w14:paraId="6DD742DB" w14:textId="77777777" w:rsidR="007A6318" w:rsidRPr="009D6DF9" w:rsidRDefault="007A6318" w:rsidP="0008262B">
      <w:pPr>
        <w:rPr>
          <w:color w:val="365F91" w:themeColor="accent1" w:themeShade="BF"/>
          <w:lang w:val="en-US"/>
        </w:rPr>
      </w:pPr>
    </w:p>
    <w:p w14:paraId="762CBE92" w14:textId="77777777" w:rsidR="007A6318" w:rsidRPr="009D6DF9" w:rsidRDefault="007A6318" w:rsidP="0008262B">
      <w:pPr>
        <w:rPr>
          <w:color w:val="365F91" w:themeColor="accent1" w:themeShade="BF"/>
          <w:lang w:val="en-US"/>
        </w:rPr>
      </w:pPr>
    </w:p>
    <w:p w14:paraId="2D97E059" w14:textId="77777777" w:rsidR="007A6318" w:rsidRPr="009D6DF9" w:rsidRDefault="007A6318" w:rsidP="0008262B">
      <w:pPr>
        <w:rPr>
          <w:color w:val="365F91" w:themeColor="accent1" w:themeShade="BF"/>
          <w:lang w:val="en-US"/>
        </w:rPr>
      </w:pPr>
    </w:p>
    <w:p w14:paraId="3686932B" w14:textId="77777777" w:rsidR="007A6318" w:rsidRPr="009D6DF9" w:rsidRDefault="007A6318" w:rsidP="0008262B">
      <w:pPr>
        <w:rPr>
          <w:color w:val="365F91" w:themeColor="accent1" w:themeShade="BF"/>
          <w:lang w:val="en-US"/>
        </w:rPr>
      </w:pPr>
    </w:p>
    <w:p w14:paraId="63C8B47B" w14:textId="77777777" w:rsidR="00A92935" w:rsidRPr="009D6DF9" w:rsidRDefault="00A92935" w:rsidP="0008262B">
      <w:pPr>
        <w:rPr>
          <w:rFonts w:asciiTheme="majorHAnsi" w:hAnsiTheme="majorHAnsi"/>
          <w:b/>
          <w:color w:val="365F91" w:themeColor="accent1" w:themeShade="BF"/>
          <w:sz w:val="48"/>
          <w:szCs w:val="48"/>
          <w:lang w:val="en-US"/>
        </w:rPr>
      </w:pPr>
    </w:p>
    <w:p w14:paraId="25C0C70D" w14:textId="77777777" w:rsidR="00A92935" w:rsidRPr="009D6DF9" w:rsidRDefault="00A92935" w:rsidP="0008262B">
      <w:pPr>
        <w:rPr>
          <w:rFonts w:asciiTheme="majorHAnsi" w:hAnsiTheme="majorHAnsi"/>
          <w:b/>
          <w:color w:val="365F91" w:themeColor="accent1" w:themeShade="BF"/>
          <w:sz w:val="48"/>
          <w:szCs w:val="48"/>
          <w:lang w:val="en-US"/>
        </w:rPr>
      </w:pPr>
    </w:p>
    <w:p w14:paraId="6FA0F491" w14:textId="77777777" w:rsidR="00A92935" w:rsidRPr="009D6DF9" w:rsidRDefault="00A92935" w:rsidP="0008262B">
      <w:pPr>
        <w:rPr>
          <w:rFonts w:asciiTheme="majorHAnsi" w:hAnsiTheme="majorHAnsi"/>
          <w:b/>
          <w:color w:val="365F91" w:themeColor="accent1" w:themeShade="BF"/>
          <w:sz w:val="48"/>
          <w:szCs w:val="48"/>
          <w:lang w:val="en-US"/>
        </w:rPr>
      </w:pPr>
    </w:p>
    <w:p w14:paraId="0CD35D62" w14:textId="508D9F73" w:rsidR="00C04BBD" w:rsidRPr="00E035D9" w:rsidRDefault="006D261B" w:rsidP="00C910D0">
      <w:pPr>
        <w:rPr>
          <w:rFonts w:cstheme="minorHAnsi"/>
          <w:b/>
          <w:color w:val="0070C0"/>
          <w:sz w:val="56"/>
          <w:szCs w:val="56"/>
          <w:lang w:val="en-US"/>
        </w:rPr>
      </w:pPr>
      <w:r w:rsidRPr="006D261B">
        <w:rPr>
          <w:rFonts w:cstheme="minorHAnsi"/>
          <w:b/>
          <w:color w:val="0070C0"/>
          <w:sz w:val="56"/>
          <w:szCs w:val="56"/>
          <w:lang w:val="en-US"/>
        </w:rPr>
        <w:t>M2M growth necessitates a new approach to ne</w:t>
      </w:r>
      <w:r>
        <w:rPr>
          <w:rFonts w:cstheme="minorHAnsi"/>
          <w:b/>
          <w:color w:val="0070C0"/>
          <w:sz w:val="56"/>
          <w:szCs w:val="56"/>
          <w:lang w:val="en-US"/>
        </w:rPr>
        <w:t>twork planning and optimisation</w:t>
      </w:r>
    </w:p>
    <w:p w14:paraId="23B23213" w14:textId="77777777" w:rsidR="00A92935" w:rsidRPr="00E035D9" w:rsidRDefault="00A92935" w:rsidP="0008262B">
      <w:pPr>
        <w:rPr>
          <w:rFonts w:cstheme="minorHAnsi"/>
          <w:lang w:val="en-US"/>
        </w:rPr>
      </w:pPr>
    </w:p>
    <w:p w14:paraId="0637C298" w14:textId="77777777" w:rsidR="009C77B9" w:rsidRDefault="009C77B9" w:rsidP="0008262B">
      <w:pPr>
        <w:rPr>
          <w:rFonts w:cstheme="minorHAnsi"/>
          <w:b/>
          <w:color w:val="943634" w:themeColor="accent2" w:themeShade="BF"/>
          <w:sz w:val="44"/>
          <w:szCs w:val="44"/>
          <w:lang w:val="en-US"/>
        </w:rPr>
      </w:pPr>
    </w:p>
    <w:p w14:paraId="243103D5" w14:textId="77777777" w:rsidR="009C77B9" w:rsidRDefault="009C77B9" w:rsidP="0008262B">
      <w:pPr>
        <w:rPr>
          <w:rFonts w:cstheme="minorHAnsi"/>
          <w:b/>
          <w:color w:val="943634" w:themeColor="accent2" w:themeShade="BF"/>
          <w:sz w:val="44"/>
          <w:szCs w:val="44"/>
          <w:lang w:val="en-US"/>
        </w:rPr>
      </w:pPr>
    </w:p>
    <w:p w14:paraId="076CC837" w14:textId="77777777" w:rsidR="007A6318" w:rsidRPr="00E035D9" w:rsidRDefault="007A6318" w:rsidP="0008262B">
      <w:pPr>
        <w:rPr>
          <w:rFonts w:cstheme="minorHAnsi"/>
          <w:b/>
          <w:color w:val="943634" w:themeColor="accent2" w:themeShade="BF"/>
          <w:sz w:val="44"/>
          <w:szCs w:val="44"/>
          <w:lang w:val="en-US"/>
        </w:rPr>
      </w:pPr>
    </w:p>
    <w:p w14:paraId="6B3A5C09" w14:textId="77777777" w:rsidR="00AA3A16" w:rsidRDefault="00AA3A16" w:rsidP="0008262B">
      <w:pPr>
        <w:rPr>
          <w:rFonts w:cstheme="minorHAnsi"/>
          <w:b/>
          <w:color w:val="0070C0"/>
          <w:sz w:val="44"/>
          <w:szCs w:val="44"/>
          <w:lang w:val="en-US"/>
        </w:rPr>
      </w:pPr>
    </w:p>
    <w:p w14:paraId="38E9A2B5" w14:textId="77777777" w:rsidR="00AA3A16" w:rsidRDefault="00AA3A16" w:rsidP="0008262B">
      <w:pPr>
        <w:rPr>
          <w:rFonts w:cstheme="minorHAnsi"/>
          <w:b/>
          <w:color w:val="0070C0"/>
          <w:sz w:val="44"/>
          <w:szCs w:val="44"/>
          <w:lang w:val="en-US"/>
        </w:rPr>
      </w:pPr>
    </w:p>
    <w:p w14:paraId="6C824284" w14:textId="689C1195" w:rsidR="006D261B" w:rsidRPr="006D261B" w:rsidRDefault="00CF1F9B" w:rsidP="006D261B">
      <w:pPr>
        <w:rPr>
          <w:rFonts w:cstheme="minorHAnsi"/>
          <w:b/>
          <w:color w:val="0070C0"/>
          <w:sz w:val="44"/>
          <w:szCs w:val="44"/>
          <w:lang w:val="en-US"/>
        </w:rPr>
      </w:pPr>
      <w:r>
        <w:rPr>
          <w:rFonts w:cstheme="minorHAnsi"/>
          <w:b/>
          <w:color w:val="0070C0"/>
          <w:sz w:val="44"/>
          <w:szCs w:val="44"/>
          <w:lang w:val="en-US"/>
        </w:rPr>
        <w:t xml:space="preserve">May </w:t>
      </w:r>
      <w:r w:rsidR="00AA3A16">
        <w:rPr>
          <w:rFonts w:cstheme="minorHAnsi"/>
          <w:b/>
          <w:color w:val="0070C0"/>
          <w:sz w:val="44"/>
          <w:szCs w:val="44"/>
          <w:lang w:val="en-US"/>
        </w:rPr>
        <w:t>2015</w:t>
      </w:r>
      <w:bookmarkStart w:id="0" w:name="_Toc393893538"/>
      <w:r w:rsidR="006D261B">
        <w:br w:type="page"/>
      </w:r>
    </w:p>
    <w:p w14:paraId="6ED4E07A" w14:textId="2FAF2098" w:rsidR="00483B53" w:rsidRDefault="00483B53" w:rsidP="0008262B">
      <w:pPr>
        <w:pStyle w:val="Heading1"/>
      </w:pPr>
      <w:r w:rsidRPr="009D6DF9">
        <w:lastRenderedPageBreak/>
        <w:t xml:space="preserve">Executive </w:t>
      </w:r>
      <w:r>
        <w:t>S</w:t>
      </w:r>
      <w:r w:rsidRPr="009D6DF9">
        <w:t>ummary</w:t>
      </w:r>
      <w:bookmarkEnd w:id="0"/>
    </w:p>
    <w:p w14:paraId="540B92DA" w14:textId="194DEB51" w:rsidR="0046538E" w:rsidRDefault="0046538E" w:rsidP="00901C68">
      <w:pPr>
        <w:rPr>
          <w:lang w:val="en-US"/>
        </w:rPr>
      </w:pPr>
      <w:r>
        <w:rPr>
          <w:lang w:val="en-US"/>
        </w:rPr>
        <w:t xml:space="preserve">Growing numbers of machine-to-machine </w:t>
      </w:r>
      <w:r w:rsidR="00A24AAD">
        <w:rPr>
          <w:lang w:val="en-US"/>
        </w:rPr>
        <w:t xml:space="preserve">(M2M) </w:t>
      </w:r>
      <w:r>
        <w:rPr>
          <w:lang w:val="en-US"/>
        </w:rPr>
        <w:t>connected devices, as part of the emergence of an Internet of Things, will create challenges for Mobile Network Operators. The absolute volume of devices and mobile n</w:t>
      </w:r>
      <w:r w:rsidR="00A24AAD">
        <w:rPr>
          <w:lang w:val="en-US"/>
        </w:rPr>
        <w:t>etwork traffic will be ostensibly</w:t>
      </w:r>
      <w:r>
        <w:rPr>
          <w:lang w:val="en-US"/>
        </w:rPr>
        <w:t xml:space="preserve"> quite manageable, with M2M accounting for just 19% of connections and 4% of traffic. However, traditional handsets, tablets and mobile broadband connections are relatively homogenous in their demands, in terms of usage, geographical location, criticality, security and numerous other criteria. M2M devices are much more diverse. As a result, M2M devices have the potential to place completely different demands on the network. </w:t>
      </w:r>
    </w:p>
    <w:p w14:paraId="0056FA8A" w14:textId="77777777" w:rsidR="00BE15A3" w:rsidRDefault="0046538E" w:rsidP="00901C68">
      <w:pPr>
        <w:rPr>
          <w:lang w:val="en-US"/>
        </w:rPr>
      </w:pPr>
      <w:r>
        <w:rPr>
          <w:lang w:val="en-US"/>
        </w:rPr>
        <w:t xml:space="preserve">This White Paper provides a snapshot of the growth of M2M/IoT in terms of numbers of devices and traffic, examines the </w:t>
      </w:r>
      <w:r w:rsidR="00BE15A3">
        <w:rPr>
          <w:lang w:val="en-US"/>
        </w:rPr>
        <w:t>ways in which M2M can put different and unexpected strains on the network, with a particular focus on connected cars, and finally offers some perspectives on how this might necessitate some changes in network engineering and operations.</w:t>
      </w:r>
    </w:p>
    <w:p w14:paraId="59A8EB63" w14:textId="77777777" w:rsidR="00BE15A3" w:rsidRDefault="00BE15A3" w:rsidP="00901C68">
      <w:pPr>
        <w:rPr>
          <w:lang w:val="en-US"/>
        </w:rPr>
      </w:pPr>
      <w:r>
        <w:rPr>
          <w:lang w:val="en-US"/>
        </w:rPr>
        <w:t>The key findings are as followings:</w:t>
      </w:r>
    </w:p>
    <w:p w14:paraId="5651A52B" w14:textId="63FC6D64" w:rsidR="00BE15A3" w:rsidRDefault="00BE15A3" w:rsidP="00BE15A3">
      <w:pPr>
        <w:pStyle w:val="ListParagraph"/>
        <w:numPr>
          <w:ilvl w:val="0"/>
          <w:numId w:val="42"/>
        </w:numPr>
        <w:ind w:left="709"/>
        <w:rPr>
          <w:lang w:val="en-US"/>
        </w:rPr>
      </w:pPr>
      <w:r>
        <w:rPr>
          <w:lang w:val="en-US"/>
        </w:rPr>
        <w:t xml:space="preserve">The growth in M2M devices will be substantial, </w:t>
      </w:r>
      <w:r w:rsidR="00A24AAD">
        <w:rPr>
          <w:lang w:val="en-US"/>
        </w:rPr>
        <w:t>with</w:t>
      </w:r>
      <w:r>
        <w:rPr>
          <w:lang w:val="en-US"/>
        </w:rPr>
        <w:t xml:space="preserve"> cellular </w:t>
      </w:r>
      <w:r w:rsidR="00A24AAD">
        <w:rPr>
          <w:lang w:val="en-US"/>
        </w:rPr>
        <w:t xml:space="preserve">connections increasing </w:t>
      </w:r>
      <w:r>
        <w:rPr>
          <w:lang w:val="en-US"/>
        </w:rPr>
        <w:t>from 250 million to 2.3 billion in the next d</w:t>
      </w:r>
      <w:r w:rsidR="00A24AAD">
        <w:rPr>
          <w:lang w:val="en-US"/>
        </w:rPr>
        <w:t>ecade.</w:t>
      </w:r>
      <w:r>
        <w:rPr>
          <w:lang w:val="en-US"/>
        </w:rPr>
        <w:t xml:space="preserve"> </w:t>
      </w:r>
      <w:r w:rsidR="00A24AAD">
        <w:rPr>
          <w:lang w:val="en-US"/>
        </w:rPr>
        <w:t>Traffic</w:t>
      </w:r>
      <w:r>
        <w:rPr>
          <w:lang w:val="en-US"/>
        </w:rPr>
        <w:t xml:space="preserve"> </w:t>
      </w:r>
      <w:r w:rsidR="00A24AAD">
        <w:rPr>
          <w:lang w:val="en-US"/>
        </w:rPr>
        <w:t>will grow</w:t>
      </w:r>
      <w:r>
        <w:rPr>
          <w:lang w:val="en-US"/>
        </w:rPr>
        <w:t xml:space="preserve"> even more quickly from 200 petabytes in 2014 to 3.2 </w:t>
      </w:r>
      <w:proofErr w:type="spellStart"/>
      <w:r>
        <w:rPr>
          <w:lang w:val="en-US"/>
        </w:rPr>
        <w:t>exabytes</w:t>
      </w:r>
      <w:proofErr w:type="spellEnd"/>
      <w:r>
        <w:rPr>
          <w:lang w:val="en-US"/>
        </w:rPr>
        <w:t xml:space="preserve"> in 2014. However, M2M will account for only 4% of all cellular traffic in 2024.</w:t>
      </w:r>
    </w:p>
    <w:p w14:paraId="576B8562" w14:textId="77777777" w:rsidR="00324764" w:rsidRDefault="00BE15A3" w:rsidP="00BE15A3">
      <w:pPr>
        <w:pStyle w:val="ListParagraph"/>
        <w:numPr>
          <w:ilvl w:val="0"/>
          <w:numId w:val="42"/>
        </w:numPr>
        <w:ind w:left="709"/>
        <w:rPr>
          <w:lang w:val="en-US"/>
        </w:rPr>
      </w:pPr>
      <w:r>
        <w:rPr>
          <w:lang w:val="en-US"/>
        </w:rPr>
        <w:t xml:space="preserve">M2M devices do not behave in the same way as handsets, tablets and other more established mobile devices. This may result in less manageable traffic patterns at particular times and in particular locations. For instance, our analysis of the connected car market shows that peak </w:t>
      </w:r>
      <w:r w:rsidR="00324764">
        <w:rPr>
          <w:lang w:val="en-US"/>
        </w:rPr>
        <w:t xml:space="preserve">traffic </w:t>
      </w:r>
      <w:r>
        <w:rPr>
          <w:lang w:val="en-US"/>
        </w:rPr>
        <w:t xml:space="preserve">in the busy hour </w:t>
      </w:r>
      <w:r w:rsidR="00324764">
        <w:rPr>
          <w:lang w:val="en-US"/>
        </w:rPr>
        <w:t>in certain cells could double as a result of the numbers of connected cars.</w:t>
      </w:r>
    </w:p>
    <w:p w14:paraId="19731394" w14:textId="65FD8E8F" w:rsidR="00324764" w:rsidRDefault="00324764" w:rsidP="00BE15A3">
      <w:pPr>
        <w:pStyle w:val="ListParagraph"/>
        <w:numPr>
          <w:ilvl w:val="0"/>
          <w:numId w:val="42"/>
        </w:numPr>
        <w:ind w:left="709"/>
        <w:rPr>
          <w:lang w:val="en-US"/>
        </w:rPr>
      </w:pPr>
      <w:r>
        <w:rPr>
          <w:lang w:val="en-US"/>
        </w:rPr>
        <w:t>Other applications have equally diverse requirements that could create challenges for MNOs, for instance</w:t>
      </w:r>
      <w:r w:rsidR="00A24AAD">
        <w:rPr>
          <w:lang w:val="en-US"/>
        </w:rPr>
        <w:t>:</w:t>
      </w:r>
      <w:r>
        <w:rPr>
          <w:lang w:val="en-US"/>
        </w:rPr>
        <w:t xml:space="preserve"> highly distributed agriculture applications having greater demand for rural coverage; healthcare or supply chain applications demanding more reliable connections to support life- or mission-critical applications; certain applications demanding reduced latency to enable real-time analytics; and proportionally greater signaling overhead from low traffic monitoring applications.</w:t>
      </w:r>
    </w:p>
    <w:p w14:paraId="380600AD" w14:textId="66C65DFF" w:rsidR="00324764" w:rsidRDefault="00324764" w:rsidP="00BE15A3">
      <w:pPr>
        <w:pStyle w:val="ListParagraph"/>
        <w:numPr>
          <w:ilvl w:val="0"/>
          <w:numId w:val="42"/>
        </w:numPr>
        <w:ind w:left="709"/>
        <w:rPr>
          <w:lang w:val="en-US"/>
        </w:rPr>
      </w:pPr>
      <w:r>
        <w:rPr>
          <w:lang w:val="en-US"/>
        </w:rPr>
        <w:t xml:space="preserve">M2M growth necessitates intelligent network engineering and operations. There are a number of ways in which MNOs should rethink their </w:t>
      </w:r>
      <w:r w:rsidR="00150281">
        <w:rPr>
          <w:lang w:val="en-US"/>
        </w:rPr>
        <w:t xml:space="preserve">approach to running their </w:t>
      </w:r>
      <w:r>
        <w:rPr>
          <w:lang w:val="en-US"/>
        </w:rPr>
        <w:t xml:space="preserve">network to cope with M2M growth. These include implementing more dynamic network management and RAN optimization, supporting more diverse access networks, adopting more sophisticated planning tools, and taking a more considered approach to spectrum </w:t>
      </w:r>
      <w:proofErr w:type="spellStart"/>
      <w:r>
        <w:rPr>
          <w:lang w:val="en-US"/>
        </w:rPr>
        <w:t>refarming</w:t>
      </w:r>
      <w:proofErr w:type="spellEnd"/>
      <w:r>
        <w:rPr>
          <w:lang w:val="en-US"/>
        </w:rPr>
        <w:t>.</w:t>
      </w:r>
    </w:p>
    <w:p w14:paraId="77B4AAEB" w14:textId="3526B7DB" w:rsidR="00483B53" w:rsidRPr="00324764" w:rsidRDefault="00324764" w:rsidP="00324764">
      <w:pPr>
        <w:rPr>
          <w:lang w:val="en-US"/>
        </w:rPr>
      </w:pPr>
      <w:r>
        <w:rPr>
          <w:lang w:val="en-US"/>
        </w:rPr>
        <w:t>The growth of M2M has changed the rules of the game with regard to supporting devices on mobile networks. Any MNO that continues to plan and run its network without consideration for the requirements of M2M in all its diversity</w:t>
      </w:r>
      <w:r w:rsidR="00D82518">
        <w:rPr>
          <w:lang w:val="en-US"/>
        </w:rPr>
        <w:t xml:space="preserve"> will suffer knock-on effects, either in terms of its ability to tap into this new revenue opportunity, or the side effects that it may have on user experience</w:t>
      </w:r>
      <w:r w:rsidR="00A24AAD">
        <w:rPr>
          <w:lang w:val="en-US"/>
        </w:rPr>
        <w:t xml:space="preserve"> for all the users of the network</w:t>
      </w:r>
      <w:r w:rsidR="00D82518">
        <w:rPr>
          <w:lang w:val="en-US"/>
        </w:rPr>
        <w:t>.</w:t>
      </w:r>
      <w:r w:rsidR="00483B53" w:rsidRPr="00324764">
        <w:rPr>
          <w:lang w:val="en-US"/>
        </w:rPr>
        <w:br w:type="page"/>
      </w:r>
    </w:p>
    <w:p w14:paraId="690DEA49" w14:textId="77777777" w:rsidR="00042D52" w:rsidRDefault="00294E4E" w:rsidP="0008262B">
      <w:pPr>
        <w:pStyle w:val="Heading1"/>
        <w:rPr>
          <w:lang w:val="en-US"/>
        </w:rPr>
      </w:pPr>
      <w:bookmarkStart w:id="1" w:name="_Ref416847401"/>
      <w:r>
        <w:rPr>
          <w:lang w:val="en-US"/>
        </w:rPr>
        <w:lastRenderedPageBreak/>
        <w:t>M2M growth will be substantial</w:t>
      </w:r>
      <w:bookmarkEnd w:id="1"/>
    </w:p>
    <w:p w14:paraId="55E1E888" w14:textId="77777777" w:rsidR="00AA3A16" w:rsidRDefault="00CB17AB">
      <w:pPr>
        <w:rPr>
          <w:lang w:val="en-US"/>
        </w:rPr>
      </w:pPr>
      <w:r>
        <w:rPr>
          <w:lang w:val="en-US"/>
        </w:rPr>
        <w:t xml:space="preserve">One of the defining trends that will dominate the telecoms industry in the next ten years is the growing demand for connecting new types of devices. </w:t>
      </w:r>
    </w:p>
    <w:p w14:paraId="56A28677" w14:textId="12E96F97" w:rsidR="00B673EE" w:rsidRDefault="00CB17AB">
      <w:pPr>
        <w:rPr>
          <w:lang w:val="en-US"/>
        </w:rPr>
      </w:pPr>
      <w:r>
        <w:rPr>
          <w:lang w:val="en-US"/>
        </w:rPr>
        <w:t>The falling cost of connectivity and hardware is creating an environment in which numerous sectors are exploring the benefits of using machine-t</w:t>
      </w:r>
      <w:r w:rsidR="00515144">
        <w:rPr>
          <w:lang w:val="en-US"/>
        </w:rPr>
        <w:t xml:space="preserve">o-machine </w:t>
      </w:r>
      <w:r w:rsidR="00A24AAD">
        <w:rPr>
          <w:lang w:val="en-US"/>
        </w:rPr>
        <w:t xml:space="preserve">(M2M) </w:t>
      </w:r>
      <w:r w:rsidR="00515144">
        <w:rPr>
          <w:lang w:val="en-US"/>
        </w:rPr>
        <w:t>connectivity. Motivations are incredibly diverse, including increasing the</w:t>
      </w:r>
      <w:r w:rsidR="00515144" w:rsidRPr="00515144">
        <w:rPr>
          <w:lang w:val="en-US"/>
        </w:rPr>
        <w:t xml:space="preserve"> efficiency of business processes, add</w:t>
      </w:r>
      <w:r w:rsidR="00515144">
        <w:rPr>
          <w:lang w:val="en-US"/>
        </w:rPr>
        <w:t>ing</w:t>
      </w:r>
      <w:r w:rsidR="00515144" w:rsidRPr="00515144">
        <w:rPr>
          <w:lang w:val="en-US"/>
        </w:rPr>
        <w:t xml:space="preserve"> new product </w:t>
      </w:r>
      <w:proofErr w:type="gramStart"/>
      <w:r w:rsidR="00515144" w:rsidRPr="00515144">
        <w:rPr>
          <w:lang w:val="en-US"/>
        </w:rPr>
        <w:t>features</w:t>
      </w:r>
      <w:r w:rsidR="00A24AAD">
        <w:rPr>
          <w:lang w:val="en-US"/>
        </w:rPr>
        <w:t>,</w:t>
      </w:r>
      <w:proofErr w:type="gramEnd"/>
      <w:r w:rsidR="00515144" w:rsidRPr="00515144">
        <w:rPr>
          <w:lang w:val="en-US"/>
        </w:rPr>
        <w:t xml:space="preserve"> build closer relationships with customers, </w:t>
      </w:r>
      <w:r w:rsidR="00515144">
        <w:rPr>
          <w:lang w:val="en-US"/>
        </w:rPr>
        <w:t xml:space="preserve">and </w:t>
      </w:r>
      <w:r w:rsidR="00515144" w:rsidRPr="00515144">
        <w:rPr>
          <w:lang w:val="en-US"/>
        </w:rPr>
        <w:t>facilitating whole new business models. Historically the focus has been on the more mundane efficiency savings, but increasingly companies are seizing the opportunity to use embedded intelligence and connectivity to switch from selli</w:t>
      </w:r>
      <w:r w:rsidR="00515144">
        <w:rPr>
          <w:lang w:val="en-US"/>
        </w:rPr>
        <w:t>ng products to selling services</w:t>
      </w:r>
      <w:r w:rsidR="00515144" w:rsidRPr="00515144">
        <w:rPr>
          <w:lang w:val="en-US"/>
        </w:rPr>
        <w:t>.</w:t>
      </w:r>
      <w:r w:rsidR="00515144">
        <w:rPr>
          <w:lang w:val="en-US"/>
        </w:rPr>
        <w:t xml:space="preserve"> </w:t>
      </w:r>
    </w:p>
    <w:p w14:paraId="340D7400" w14:textId="77777777" w:rsidR="00402555" w:rsidRDefault="00402555">
      <w:pPr>
        <w:rPr>
          <w:lang w:val="en-US"/>
        </w:rPr>
      </w:pPr>
      <w:r>
        <w:rPr>
          <w:lang w:val="en-US"/>
        </w:rPr>
        <w:t>Increasingly the term ‘Internet of Things’ is being used to define this space. For Machina Research, the IoT is facilitated by the creation of lots of interlinked M2M devices along with numerous other data sources.</w:t>
      </w:r>
    </w:p>
    <w:p w14:paraId="0327E5A4" w14:textId="2BBCD271" w:rsidR="00402555" w:rsidRDefault="00402555">
      <w:pPr>
        <w:rPr>
          <w:lang w:val="en-US"/>
        </w:rPr>
      </w:pPr>
      <w:r>
        <w:rPr>
          <w:lang w:val="en-US"/>
        </w:rPr>
        <w:t>In total Machina Research forecasts that there will be 2</w:t>
      </w:r>
      <w:r w:rsidR="00CF1F9B">
        <w:rPr>
          <w:lang w:val="en-US"/>
        </w:rPr>
        <w:t>9</w:t>
      </w:r>
      <w:r>
        <w:rPr>
          <w:lang w:val="en-US"/>
        </w:rPr>
        <w:t xml:space="preserve"> billion M2M connections by 202</w:t>
      </w:r>
      <w:r w:rsidR="00CF1F9B">
        <w:rPr>
          <w:lang w:val="en-US"/>
        </w:rPr>
        <w:t>4</w:t>
      </w:r>
      <w:r>
        <w:rPr>
          <w:lang w:val="en-US"/>
        </w:rPr>
        <w:t>, up from 4</w:t>
      </w:r>
      <w:r w:rsidR="00CF1F9B">
        <w:rPr>
          <w:lang w:val="en-US"/>
        </w:rPr>
        <w:t>.5</w:t>
      </w:r>
      <w:r>
        <w:rPr>
          <w:lang w:val="en-US"/>
        </w:rPr>
        <w:t xml:space="preserve"> billion in 201</w:t>
      </w:r>
      <w:r w:rsidR="00CF1F9B">
        <w:rPr>
          <w:lang w:val="en-US"/>
        </w:rPr>
        <w:t>4</w:t>
      </w:r>
      <w:r>
        <w:rPr>
          <w:lang w:val="en-US"/>
        </w:rPr>
        <w:t>. Cellular networks will support only a minority of these connections, but, as illustrated in Figure 2-1, the growth will still be considerable, from 2</w:t>
      </w:r>
      <w:r w:rsidR="00CF1F9B">
        <w:rPr>
          <w:lang w:val="en-US"/>
        </w:rPr>
        <w:t>50</w:t>
      </w:r>
      <w:r>
        <w:rPr>
          <w:lang w:val="en-US"/>
        </w:rPr>
        <w:t xml:space="preserve"> million in 201</w:t>
      </w:r>
      <w:r w:rsidR="00CF1F9B">
        <w:rPr>
          <w:lang w:val="en-US"/>
        </w:rPr>
        <w:t>4</w:t>
      </w:r>
      <w:r>
        <w:rPr>
          <w:lang w:val="en-US"/>
        </w:rPr>
        <w:t xml:space="preserve"> to 2.</w:t>
      </w:r>
      <w:r w:rsidR="00EB6257">
        <w:rPr>
          <w:lang w:val="en-US"/>
        </w:rPr>
        <w:t>3</w:t>
      </w:r>
      <w:r>
        <w:rPr>
          <w:lang w:val="en-US"/>
        </w:rPr>
        <w:t xml:space="preserve"> billion in 202</w:t>
      </w:r>
      <w:r w:rsidR="00EB6257">
        <w:rPr>
          <w:lang w:val="en-US"/>
        </w:rPr>
        <w:t>4</w:t>
      </w:r>
      <w:r>
        <w:rPr>
          <w:lang w:val="en-US"/>
        </w:rPr>
        <w:t xml:space="preserve">. </w:t>
      </w:r>
    </w:p>
    <w:p w14:paraId="2CA17C8D" w14:textId="4804FFA9" w:rsidR="00CB17AB" w:rsidRPr="00AA3A16" w:rsidRDefault="00CB17AB" w:rsidP="00CB17AB">
      <w:pPr>
        <w:pStyle w:val="Caption"/>
        <w:keepNext/>
        <w:rPr>
          <w:rStyle w:val="IntenseEmphasis"/>
          <w:b/>
        </w:rPr>
      </w:pPr>
      <w:r w:rsidRPr="00AA3A16">
        <w:rPr>
          <w:rStyle w:val="IntenseEmphasis"/>
          <w:b/>
        </w:rPr>
        <w:t xml:space="preserve">Figure </w:t>
      </w:r>
      <w:r w:rsidR="00456FD9" w:rsidRPr="00AA3A16">
        <w:rPr>
          <w:rStyle w:val="IntenseEmphasis"/>
          <w:b/>
        </w:rPr>
        <w:fldChar w:fldCharType="begin"/>
      </w:r>
      <w:r w:rsidR="00456FD9" w:rsidRPr="00AA3A16">
        <w:rPr>
          <w:rStyle w:val="IntenseEmphasis"/>
          <w:b/>
        </w:rPr>
        <w:instrText xml:space="preserve"> STYLEREF 1 \s </w:instrText>
      </w:r>
      <w:r w:rsidR="00456FD9" w:rsidRPr="00AA3A16">
        <w:rPr>
          <w:rStyle w:val="IntenseEmphasis"/>
          <w:b/>
        </w:rPr>
        <w:fldChar w:fldCharType="separate"/>
      </w:r>
      <w:r w:rsidR="00E5036C">
        <w:rPr>
          <w:rStyle w:val="IntenseEmphasis"/>
          <w:b/>
          <w:noProof/>
        </w:rPr>
        <w:t>2</w:t>
      </w:r>
      <w:r w:rsidR="00456FD9" w:rsidRPr="00AA3A16">
        <w:rPr>
          <w:rStyle w:val="IntenseEmphasis"/>
          <w:b/>
        </w:rPr>
        <w:fldChar w:fldCharType="end"/>
      </w:r>
      <w:r w:rsidR="00456FD9" w:rsidRPr="00AA3A16">
        <w:rPr>
          <w:rStyle w:val="IntenseEmphasis"/>
          <w:b/>
        </w:rPr>
        <w:noBreakHyphen/>
      </w:r>
      <w:r w:rsidR="00456FD9" w:rsidRPr="00AA3A16">
        <w:rPr>
          <w:rStyle w:val="IntenseEmphasis"/>
          <w:b/>
        </w:rPr>
        <w:fldChar w:fldCharType="begin"/>
      </w:r>
      <w:r w:rsidR="00456FD9" w:rsidRPr="00AA3A16">
        <w:rPr>
          <w:rStyle w:val="IntenseEmphasis"/>
          <w:b/>
        </w:rPr>
        <w:instrText xml:space="preserve"> SEQ Figure \* ARABIC \s 1 </w:instrText>
      </w:r>
      <w:r w:rsidR="00456FD9" w:rsidRPr="00AA3A16">
        <w:rPr>
          <w:rStyle w:val="IntenseEmphasis"/>
          <w:b/>
        </w:rPr>
        <w:fldChar w:fldCharType="separate"/>
      </w:r>
      <w:r w:rsidR="00E5036C">
        <w:rPr>
          <w:rStyle w:val="IntenseEmphasis"/>
          <w:b/>
          <w:noProof/>
        </w:rPr>
        <w:t>1</w:t>
      </w:r>
      <w:r w:rsidR="00456FD9" w:rsidRPr="00AA3A16">
        <w:rPr>
          <w:rStyle w:val="IntenseEmphasis"/>
          <w:b/>
        </w:rPr>
        <w:fldChar w:fldCharType="end"/>
      </w:r>
      <w:r w:rsidRPr="00AA3A16">
        <w:rPr>
          <w:rStyle w:val="IntenseEmphasis"/>
          <w:b/>
        </w:rPr>
        <w:t>: Global cellular M2M connections 201</w:t>
      </w:r>
      <w:r w:rsidR="00EB6257">
        <w:rPr>
          <w:rStyle w:val="IntenseEmphasis"/>
          <w:b/>
        </w:rPr>
        <w:t>4</w:t>
      </w:r>
      <w:r w:rsidRPr="00AA3A16">
        <w:rPr>
          <w:rStyle w:val="IntenseEmphasis"/>
          <w:b/>
        </w:rPr>
        <w:t>-2</w:t>
      </w:r>
      <w:r w:rsidR="00EB6257">
        <w:rPr>
          <w:rStyle w:val="IntenseEmphasis"/>
          <w:b/>
        </w:rPr>
        <w:t>4</w:t>
      </w:r>
      <w:r w:rsidR="00AA3A16" w:rsidRPr="00AA3A16">
        <w:rPr>
          <w:rStyle w:val="IntenseEmphasis"/>
          <w:b/>
        </w:rPr>
        <w:t xml:space="preserve"> [Source: Machina Research, 2015]</w:t>
      </w:r>
    </w:p>
    <w:p w14:paraId="4A33FB00" w14:textId="77777777" w:rsidR="00CB17AB" w:rsidRDefault="00CB17AB" w:rsidP="005E238B">
      <w:pPr>
        <w:jc w:val="center"/>
        <w:rPr>
          <w:lang w:val="en-US"/>
        </w:rPr>
      </w:pPr>
      <w:r w:rsidRPr="00CB17AB">
        <w:rPr>
          <w:noProof/>
          <w:lang w:val="en-US"/>
        </w:rPr>
        <w:drawing>
          <wp:inline distT="0" distB="0" distL="0" distR="0" wp14:anchorId="2599BCF1" wp14:editId="314D7A1F">
            <wp:extent cx="5384800" cy="3755496"/>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310E4F" w14:textId="0FEF7471" w:rsidR="00402555" w:rsidRDefault="00402555" w:rsidP="002E595B">
      <w:pPr>
        <w:rPr>
          <w:lang w:val="en-US"/>
        </w:rPr>
      </w:pPr>
      <w:r>
        <w:rPr>
          <w:lang w:val="en-US"/>
        </w:rPr>
        <w:lastRenderedPageBreak/>
        <w:t xml:space="preserve">Based on this growth in cellular connected devices, as well as large numbers of short-range connected devices which use cellular as a backhaul network, the amount of cellular traffic generated by M2M will grow from </w:t>
      </w:r>
      <w:r w:rsidR="00EB6257">
        <w:rPr>
          <w:lang w:val="en-US"/>
        </w:rPr>
        <w:t xml:space="preserve">200 </w:t>
      </w:r>
      <w:r>
        <w:rPr>
          <w:lang w:val="en-US"/>
        </w:rPr>
        <w:t xml:space="preserve">petabytes per annum to </w:t>
      </w:r>
      <w:r w:rsidR="00EB6257">
        <w:rPr>
          <w:lang w:val="en-US"/>
        </w:rPr>
        <w:t>3.2</w:t>
      </w:r>
      <w:r>
        <w:rPr>
          <w:lang w:val="en-US"/>
        </w:rPr>
        <w:t xml:space="preserve"> </w:t>
      </w:r>
      <w:proofErr w:type="spellStart"/>
      <w:r>
        <w:rPr>
          <w:lang w:val="en-US"/>
        </w:rPr>
        <w:t>exabytes</w:t>
      </w:r>
      <w:proofErr w:type="spellEnd"/>
      <w:r>
        <w:rPr>
          <w:lang w:val="en-US"/>
        </w:rPr>
        <w:t xml:space="preserve"> per annum between 201</w:t>
      </w:r>
      <w:r w:rsidR="00EB6257">
        <w:rPr>
          <w:lang w:val="en-US"/>
        </w:rPr>
        <w:t>4</w:t>
      </w:r>
      <w:r>
        <w:rPr>
          <w:lang w:val="en-US"/>
        </w:rPr>
        <w:t xml:space="preserve"> and 202</w:t>
      </w:r>
      <w:r w:rsidR="00EB6257">
        <w:rPr>
          <w:lang w:val="en-US"/>
        </w:rPr>
        <w:t>4</w:t>
      </w:r>
      <w:r>
        <w:rPr>
          <w:lang w:val="en-US"/>
        </w:rPr>
        <w:t>.</w:t>
      </w:r>
    </w:p>
    <w:p w14:paraId="3FFEC856" w14:textId="0078332C" w:rsidR="00402555" w:rsidRPr="00402555" w:rsidRDefault="00402555" w:rsidP="00402555">
      <w:pPr>
        <w:pStyle w:val="Caption"/>
        <w:keepNext/>
        <w:jc w:val="left"/>
        <w:rPr>
          <w:rStyle w:val="IntenseEmphasis"/>
          <w:b/>
        </w:rPr>
      </w:pPr>
      <w:r w:rsidRPr="00402555">
        <w:rPr>
          <w:rStyle w:val="IntenseEmphasis"/>
          <w:b/>
        </w:rPr>
        <w:t xml:space="preserve">Figure </w:t>
      </w:r>
      <w:r w:rsidR="00456FD9">
        <w:rPr>
          <w:rStyle w:val="IntenseEmphasis"/>
          <w:b/>
        </w:rPr>
        <w:fldChar w:fldCharType="begin"/>
      </w:r>
      <w:r w:rsidR="00456FD9">
        <w:rPr>
          <w:rStyle w:val="IntenseEmphasis"/>
          <w:b/>
        </w:rPr>
        <w:instrText xml:space="preserve"> STYLEREF 1 \s </w:instrText>
      </w:r>
      <w:r w:rsidR="00456FD9">
        <w:rPr>
          <w:rStyle w:val="IntenseEmphasis"/>
          <w:b/>
        </w:rPr>
        <w:fldChar w:fldCharType="separate"/>
      </w:r>
      <w:r w:rsidR="00E5036C">
        <w:rPr>
          <w:rStyle w:val="IntenseEmphasis"/>
          <w:b/>
          <w:noProof/>
        </w:rPr>
        <w:t>2</w:t>
      </w:r>
      <w:r w:rsidR="00456FD9">
        <w:rPr>
          <w:rStyle w:val="IntenseEmphasis"/>
          <w:b/>
        </w:rPr>
        <w:fldChar w:fldCharType="end"/>
      </w:r>
      <w:r w:rsidR="00456FD9">
        <w:rPr>
          <w:rStyle w:val="IntenseEmphasis"/>
          <w:b/>
        </w:rPr>
        <w:noBreakHyphen/>
      </w:r>
      <w:r w:rsidR="00456FD9">
        <w:rPr>
          <w:rStyle w:val="IntenseEmphasis"/>
          <w:b/>
        </w:rPr>
        <w:fldChar w:fldCharType="begin"/>
      </w:r>
      <w:r w:rsidR="00456FD9">
        <w:rPr>
          <w:rStyle w:val="IntenseEmphasis"/>
          <w:b/>
        </w:rPr>
        <w:instrText xml:space="preserve"> SEQ Figure \* ARABIC \s 1 </w:instrText>
      </w:r>
      <w:r w:rsidR="00456FD9">
        <w:rPr>
          <w:rStyle w:val="IntenseEmphasis"/>
          <w:b/>
        </w:rPr>
        <w:fldChar w:fldCharType="separate"/>
      </w:r>
      <w:r w:rsidR="00E5036C">
        <w:rPr>
          <w:rStyle w:val="IntenseEmphasis"/>
          <w:b/>
          <w:noProof/>
        </w:rPr>
        <w:t>2</w:t>
      </w:r>
      <w:r w:rsidR="00456FD9">
        <w:rPr>
          <w:rStyle w:val="IntenseEmphasis"/>
          <w:b/>
        </w:rPr>
        <w:fldChar w:fldCharType="end"/>
      </w:r>
      <w:r w:rsidRPr="00402555">
        <w:rPr>
          <w:rStyle w:val="IntenseEmphasis"/>
          <w:b/>
        </w:rPr>
        <w:t xml:space="preserve">: Global </w:t>
      </w:r>
      <w:r w:rsidR="00CF1F9B">
        <w:rPr>
          <w:rStyle w:val="IntenseEmphasis"/>
          <w:b/>
        </w:rPr>
        <w:t xml:space="preserve">cellular </w:t>
      </w:r>
      <w:r w:rsidRPr="00402555">
        <w:rPr>
          <w:rStyle w:val="IntenseEmphasis"/>
          <w:b/>
        </w:rPr>
        <w:t>M2M traffic</w:t>
      </w:r>
      <w:r w:rsidR="00EB6257">
        <w:rPr>
          <w:rStyle w:val="IntenseEmphasis"/>
          <w:b/>
        </w:rPr>
        <w:t xml:space="preserve"> 2014-24</w:t>
      </w:r>
      <w:r w:rsidRPr="00402555">
        <w:rPr>
          <w:rStyle w:val="IntenseEmphasis"/>
          <w:b/>
        </w:rPr>
        <w:t>, PB/annum [Source: Machina Research, 2015]</w:t>
      </w:r>
    </w:p>
    <w:p w14:paraId="2C586AB4" w14:textId="77777777" w:rsidR="00AA3A16" w:rsidRDefault="00402555" w:rsidP="005E238B">
      <w:pPr>
        <w:jc w:val="center"/>
        <w:rPr>
          <w:lang w:val="en-US"/>
        </w:rPr>
      </w:pPr>
      <w:r>
        <w:rPr>
          <w:noProof/>
          <w:lang w:val="en-US"/>
        </w:rPr>
        <w:drawing>
          <wp:inline distT="0" distB="0" distL="0" distR="0" wp14:anchorId="072A865F" wp14:editId="2C5FBB1D">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023E9A" w14:textId="77777777" w:rsidR="00784839" w:rsidRDefault="00294E4E" w:rsidP="00784839">
      <w:pPr>
        <w:pStyle w:val="Heading1"/>
        <w:rPr>
          <w:lang w:val="en-US"/>
        </w:rPr>
      </w:pPr>
      <w:bookmarkStart w:id="2" w:name="_Ref417656088"/>
      <w:r>
        <w:rPr>
          <w:lang w:val="en-US"/>
        </w:rPr>
        <w:t>Traffic growth from M2M, particularly from connected cars</w:t>
      </w:r>
      <w:r w:rsidR="005E238B">
        <w:rPr>
          <w:lang w:val="en-US"/>
        </w:rPr>
        <w:t>,</w:t>
      </w:r>
      <w:r>
        <w:rPr>
          <w:lang w:val="en-US"/>
        </w:rPr>
        <w:t xml:space="preserve"> will cause headaches for mobile network operators</w:t>
      </w:r>
      <w:bookmarkEnd w:id="2"/>
    </w:p>
    <w:p w14:paraId="0C28712A" w14:textId="728C717F" w:rsidR="00D3017B" w:rsidRDefault="00402555" w:rsidP="002E595B">
      <w:pPr>
        <w:rPr>
          <w:lang w:val="en-US"/>
        </w:rPr>
      </w:pPr>
      <w:r>
        <w:rPr>
          <w:lang w:val="en-US"/>
        </w:rPr>
        <w:t xml:space="preserve">As noted in Section 2, above, the growth of M2M connections and traffic will be substantial, and mobile network operators are increasingly gearing up to support these new types of connected devices. </w:t>
      </w:r>
      <w:r w:rsidR="00446FA2">
        <w:rPr>
          <w:lang w:val="en-US"/>
        </w:rPr>
        <w:t>At first glance, however, the total amount of cellular traffic generated does not seem particularly substantial. Courtesy of the continuing growth in smartphone and tablet usage, and greater mobile broadband adoption, the majority of traffic will continue to be generated by these existing more traditional cellular devices. In 201</w:t>
      </w:r>
      <w:r w:rsidR="00EB6257">
        <w:rPr>
          <w:lang w:val="en-US"/>
        </w:rPr>
        <w:t>4</w:t>
      </w:r>
      <w:r w:rsidR="00446FA2">
        <w:rPr>
          <w:lang w:val="en-US"/>
        </w:rPr>
        <w:t>, approximately 2% of traffic w</w:t>
      </w:r>
      <w:r w:rsidR="008E753B">
        <w:rPr>
          <w:lang w:val="en-US"/>
        </w:rPr>
        <w:t>as</w:t>
      </w:r>
      <w:r w:rsidR="00446FA2">
        <w:rPr>
          <w:lang w:val="en-US"/>
        </w:rPr>
        <w:t xml:space="preserve"> generated by M2M, a figure which will increase to 4% in 202</w:t>
      </w:r>
      <w:r w:rsidR="00EB6257">
        <w:rPr>
          <w:lang w:val="en-US"/>
        </w:rPr>
        <w:t>4</w:t>
      </w:r>
      <w:r w:rsidR="00446FA2">
        <w:rPr>
          <w:lang w:val="en-US"/>
        </w:rPr>
        <w:t>. In this context it would appear that cellular operators have little to worry about in terms of supporting M2M devices on their networks. However, the picture is not quite that simple. While M2M devices may not necessarily generate huge volumes of data, the</w:t>
      </w:r>
      <w:r w:rsidR="00D3017B">
        <w:rPr>
          <w:lang w:val="en-US"/>
        </w:rPr>
        <w:t>se devices have their own particular demands.</w:t>
      </w:r>
    </w:p>
    <w:p w14:paraId="068A1C39" w14:textId="77777777" w:rsidR="00D3017B" w:rsidRDefault="00D3017B" w:rsidP="002E595B">
      <w:pPr>
        <w:rPr>
          <w:lang w:val="en-US"/>
        </w:rPr>
      </w:pPr>
      <w:r>
        <w:rPr>
          <w:lang w:val="en-US"/>
        </w:rPr>
        <w:t xml:space="preserve">M2M devices do not behave in the same way as traditional cellular devices. The result being that traffic patterns are likely to be very different, </w:t>
      </w:r>
      <w:proofErr w:type="gramStart"/>
      <w:r>
        <w:rPr>
          <w:lang w:val="en-US"/>
        </w:rPr>
        <w:t xml:space="preserve">which will create some challenges for network </w:t>
      </w:r>
      <w:r>
        <w:rPr>
          <w:lang w:val="en-US"/>
        </w:rPr>
        <w:lastRenderedPageBreak/>
        <w:t>management.</w:t>
      </w:r>
      <w:proofErr w:type="gramEnd"/>
      <w:r>
        <w:rPr>
          <w:lang w:val="en-US"/>
        </w:rPr>
        <w:t xml:space="preserve"> In terms of overall volume of data, M2M growth does not appear to pose much of a problem, but network resource management is not based on the total volume of traffic, it is based on demand </w:t>
      </w:r>
      <w:r w:rsidR="00EC0C93">
        <w:rPr>
          <w:lang w:val="en-US"/>
        </w:rPr>
        <w:t>on particular cell sites</w:t>
      </w:r>
      <w:r>
        <w:rPr>
          <w:lang w:val="en-US"/>
        </w:rPr>
        <w:t xml:space="preserve"> during peak times of traffic use. While it might not be economically viable to support every possible peak in traffic demand, it should be noted that if M2M devices regularly generate </w:t>
      </w:r>
      <w:r w:rsidR="00EC0C93">
        <w:rPr>
          <w:lang w:val="en-US"/>
        </w:rPr>
        <w:t xml:space="preserve">spikes in usage in a particular location which cannot be met, there are implications for customer satisfaction, and even the risk of non-compliance with service level agreements (SLAs). </w:t>
      </w:r>
    </w:p>
    <w:p w14:paraId="7B696084" w14:textId="77777777" w:rsidR="005E238B" w:rsidRDefault="005E238B" w:rsidP="002E595B">
      <w:pPr>
        <w:rPr>
          <w:lang w:val="en-US"/>
        </w:rPr>
      </w:pPr>
      <w:r>
        <w:rPr>
          <w:lang w:val="en-US"/>
        </w:rPr>
        <w:t xml:space="preserve">In this study, we have modelled the demand for cellular data traffic in a few example cell types during the busy hour. </w:t>
      </w:r>
      <w:r w:rsidR="003E61DA">
        <w:rPr>
          <w:lang w:val="en-US"/>
        </w:rPr>
        <w:t xml:space="preserve">Over the period 2014 to 2024 the average traffic demand in a specific location will increase approximately 6-fold due to increasing use of data devices and new connected devices. This is a challenge that MNOs know about and have strategies in place to deal with. 3GPP enhancements and the availability of more </w:t>
      </w:r>
      <w:proofErr w:type="gramStart"/>
      <w:r w:rsidR="003E61DA">
        <w:rPr>
          <w:lang w:val="en-US"/>
        </w:rPr>
        <w:t>spe</w:t>
      </w:r>
      <w:bookmarkStart w:id="3" w:name="_GoBack"/>
      <w:bookmarkEnd w:id="3"/>
      <w:r w:rsidR="003E61DA">
        <w:rPr>
          <w:lang w:val="en-US"/>
        </w:rPr>
        <w:t>ctrum</w:t>
      </w:r>
      <w:proofErr w:type="gramEnd"/>
      <w:r w:rsidR="003E61DA">
        <w:rPr>
          <w:lang w:val="en-US"/>
        </w:rPr>
        <w:t xml:space="preserve"> will allow them to cope with this requirement. </w:t>
      </w:r>
    </w:p>
    <w:p w14:paraId="14A88F6F" w14:textId="77777777" w:rsidR="00EC0C93" w:rsidRDefault="003E61DA" w:rsidP="002E595B">
      <w:pPr>
        <w:rPr>
          <w:lang w:val="en-US"/>
        </w:rPr>
      </w:pPr>
      <w:r>
        <w:rPr>
          <w:lang w:val="en-US"/>
        </w:rPr>
        <w:t xml:space="preserve">However, the introduction of lots of new M2M devices creates a new set of parameters for demand for network resources. </w:t>
      </w:r>
      <w:r w:rsidR="00EC0C93">
        <w:rPr>
          <w:lang w:val="en-US"/>
        </w:rPr>
        <w:t>In this study,</w:t>
      </w:r>
      <w:r w:rsidR="00D3017B">
        <w:rPr>
          <w:lang w:val="en-US"/>
        </w:rPr>
        <w:t xml:space="preserve"> Machina Research</w:t>
      </w:r>
      <w:r w:rsidR="00EC0C93">
        <w:rPr>
          <w:lang w:val="en-US"/>
        </w:rPr>
        <w:t xml:space="preserve"> look</w:t>
      </w:r>
      <w:r>
        <w:rPr>
          <w:lang w:val="en-US"/>
        </w:rPr>
        <w:t>s</w:t>
      </w:r>
      <w:r w:rsidR="00EC0C93">
        <w:rPr>
          <w:lang w:val="en-US"/>
        </w:rPr>
        <w:t xml:space="preserve"> at one particular instance in which the growth of M2M may cause some challenging spikes in data traffic. Specifically this relates to high demand for connected car applications during periods of heavy vehicle traffic. Section </w:t>
      </w:r>
      <w:r w:rsidR="005E238B">
        <w:rPr>
          <w:lang w:val="en-US"/>
        </w:rPr>
        <w:fldChar w:fldCharType="begin"/>
      </w:r>
      <w:r w:rsidR="005E238B">
        <w:rPr>
          <w:lang w:val="en-US"/>
        </w:rPr>
        <w:instrText xml:space="preserve"> REF _Ref416853253 \r \h </w:instrText>
      </w:r>
      <w:r w:rsidR="005E238B">
        <w:rPr>
          <w:lang w:val="en-US"/>
        </w:rPr>
      </w:r>
      <w:r w:rsidR="005E238B">
        <w:rPr>
          <w:lang w:val="en-US"/>
        </w:rPr>
        <w:fldChar w:fldCharType="separate"/>
      </w:r>
      <w:r w:rsidR="00E5036C">
        <w:rPr>
          <w:lang w:val="en-US"/>
        </w:rPr>
        <w:t>5</w:t>
      </w:r>
      <w:r w:rsidR="005E238B">
        <w:rPr>
          <w:lang w:val="en-US"/>
        </w:rPr>
        <w:fldChar w:fldCharType="end"/>
      </w:r>
      <w:r w:rsidR="00EC0C93">
        <w:rPr>
          <w:lang w:val="en-US"/>
        </w:rPr>
        <w:t>, below, outlines the methodology used, but here we present the main results.</w:t>
      </w:r>
    </w:p>
    <w:p w14:paraId="219342F5" w14:textId="77777777" w:rsidR="003E61DA" w:rsidRDefault="00EC0C93" w:rsidP="002E595B">
      <w:pPr>
        <w:rPr>
          <w:lang w:val="en-US"/>
        </w:rPr>
      </w:pPr>
      <w:r>
        <w:rPr>
          <w:lang w:val="en-US"/>
        </w:rPr>
        <w:t xml:space="preserve">Today, with the current blend of devices, i.e. mostly smartphones, we estimate that traffic peaks created by cells with a lot of vehicle traffic congestion might result in </w:t>
      </w:r>
      <w:proofErr w:type="gramStart"/>
      <w:r>
        <w:rPr>
          <w:lang w:val="en-US"/>
        </w:rPr>
        <w:t>a 10</w:t>
      </w:r>
      <w:proofErr w:type="gramEnd"/>
      <w:r>
        <w:rPr>
          <w:lang w:val="en-US"/>
        </w:rPr>
        <w:t xml:space="preserve">-22% uplift in data traffic. By 2024, in certain cells, the equivalent figure, due to large amounts of connected cars, could be as high as 97%. </w:t>
      </w:r>
      <w:r w:rsidRPr="004230E6">
        <w:rPr>
          <w:lang w:val="en-US"/>
        </w:rPr>
        <w:t>Put simply, connected cars c</w:t>
      </w:r>
      <w:r w:rsidR="003E61DA" w:rsidRPr="004230E6">
        <w:rPr>
          <w:lang w:val="en-US"/>
        </w:rPr>
        <w:t>reate a situation in which maximum busy hour demand could be twice as great as average busy hour demand in 2024. This compares to a maximum 22% higher in 2014.</w:t>
      </w:r>
    </w:p>
    <w:p w14:paraId="297C7C3C" w14:textId="77777777" w:rsidR="003E61DA" w:rsidRPr="003E61DA" w:rsidRDefault="003E61DA" w:rsidP="003E61DA">
      <w:pPr>
        <w:pStyle w:val="Caption"/>
        <w:keepNext/>
        <w:jc w:val="left"/>
        <w:rPr>
          <w:rStyle w:val="IntenseEmphasis"/>
          <w:b/>
        </w:rPr>
      </w:pPr>
      <w:r w:rsidRPr="003E61DA">
        <w:rPr>
          <w:rStyle w:val="IntenseEmphasis"/>
          <w:b/>
        </w:rPr>
        <w:t xml:space="preserve">Figure </w:t>
      </w:r>
      <w:r w:rsidR="00456FD9">
        <w:rPr>
          <w:rStyle w:val="IntenseEmphasis"/>
          <w:b/>
        </w:rPr>
        <w:fldChar w:fldCharType="begin"/>
      </w:r>
      <w:r w:rsidR="00456FD9">
        <w:rPr>
          <w:rStyle w:val="IntenseEmphasis"/>
          <w:b/>
        </w:rPr>
        <w:instrText xml:space="preserve"> STYLEREF 1 \s </w:instrText>
      </w:r>
      <w:r w:rsidR="00456FD9">
        <w:rPr>
          <w:rStyle w:val="IntenseEmphasis"/>
          <w:b/>
        </w:rPr>
        <w:fldChar w:fldCharType="separate"/>
      </w:r>
      <w:r w:rsidR="00E5036C">
        <w:rPr>
          <w:rStyle w:val="IntenseEmphasis"/>
          <w:b/>
          <w:noProof/>
        </w:rPr>
        <w:t>3</w:t>
      </w:r>
      <w:r w:rsidR="00456FD9">
        <w:rPr>
          <w:rStyle w:val="IntenseEmphasis"/>
          <w:b/>
        </w:rPr>
        <w:fldChar w:fldCharType="end"/>
      </w:r>
      <w:r w:rsidR="00456FD9">
        <w:rPr>
          <w:rStyle w:val="IntenseEmphasis"/>
          <w:b/>
        </w:rPr>
        <w:noBreakHyphen/>
      </w:r>
      <w:r w:rsidR="00456FD9">
        <w:rPr>
          <w:rStyle w:val="IntenseEmphasis"/>
          <w:b/>
        </w:rPr>
        <w:fldChar w:fldCharType="begin"/>
      </w:r>
      <w:r w:rsidR="00456FD9">
        <w:rPr>
          <w:rStyle w:val="IntenseEmphasis"/>
          <w:b/>
        </w:rPr>
        <w:instrText xml:space="preserve"> SEQ Figure \* ARABIC \s 1 </w:instrText>
      </w:r>
      <w:r w:rsidR="00456FD9">
        <w:rPr>
          <w:rStyle w:val="IntenseEmphasis"/>
          <w:b/>
        </w:rPr>
        <w:fldChar w:fldCharType="separate"/>
      </w:r>
      <w:r w:rsidR="00E5036C">
        <w:rPr>
          <w:rStyle w:val="IntenseEmphasis"/>
          <w:b/>
          <w:noProof/>
        </w:rPr>
        <w:t>1</w:t>
      </w:r>
      <w:r w:rsidR="00456FD9">
        <w:rPr>
          <w:rStyle w:val="IntenseEmphasis"/>
          <w:b/>
        </w:rPr>
        <w:fldChar w:fldCharType="end"/>
      </w:r>
      <w:r w:rsidRPr="003E61DA">
        <w:rPr>
          <w:rStyle w:val="IntenseEmphasis"/>
          <w:b/>
        </w:rPr>
        <w:t>: Traffic uplift in four cell scenarios during the busy hour with road traffic congestion [Source: Machina Research, 2015]</w:t>
      </w:r>
    </w:p>
    <w:p w14:paraId="27B6CB5C" w14:textId="77777777" w:rsidR="003E61DA" w:rsidRDefault="003E61DA">
      <w:pPr>
        <w:jc w:val="left"/>
        <w:rPr>
          <w:lang w:val="en-US"/>
        </w:rPr>
      </w:pPr>
      <w:r>
        <w:rPr>
          <w:noProof/>
          <w:lang w:val="en-US"/>
        </w:rPr>
        <w:drawing>
          <wp:inline distT="0" distB="0" distL="0" distR="0" wp14:anchorId="7111D83D" wp14:editId="54A18223">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A45FCA" w14:textId="77777777" w:rsidR="002E595B" w:rsidRDefault="005E238B" w:rsidP="005E238B">
      <w:pPr>
        <w:rPr>
          <w:lang w:val="en-US"/>
        </w:rPr>
      </w:pPr>
      <w:r>
        <w:rPr>
          <w:lang w:val="en-US"/>
        </w:rPr>
        <w:lastRenderedPageBreak/>
        <w:t xml:space="preserve">So, as a result of the analysis we can predict that in certain cells, usage spikes caused by connected cars will inflate the peaks in mobile data traffic demand substantially. </w:t>
      </w:r>
    </w:p>
    <w:p w14:paraId="7EFB9A47" w14:textId="77777777" w:rsidR="005E238B" w:rsidRDefault="005E238B" w:rsidP="002E595B">
      <w:pPr>
        <w:rPr>
          <w:lang w:val="en-US"/>
        </w:rPr>
      </w:pPr>
      <w:r>
        <w:rPr>
          <w:lang w:val="en-US"/>
        </w:rPr>
        <w:t>This is, of course, only on</w:t>
      </w:r>
      <w:r w:rsidR="003234D9">
        <w:rPr>
          <w:lang w:val="en-US"/>
        </w:rPr>
        <w:t>e example of a</w:t>
      </w:r>
      <w:r>
        <w:rPr>
          <w:lang w:val="en-US"/>
        </w:rPr>
        <w:t xml:space="preserve"> set of applications within M2M that will have an effect on network requirements, and only in one way, i.e. spikes in data usage. There are many other examples where demand from M2M devices will create unusual demands on cellular network resources that MNOs will need to resolve, for instance: </w:t>
      </w:r>
    </w:p>
    <w:p w14:paraId="155A8417" w14:textId="206AB7AB" w:rsidR="005E238B" w:rsidRDefault="005E238B" w:rsidP="005E238B">
      <w:pPr>
        <w:pStyle w:val="ListParagraph"/>
        <w:numPr>
          <w:ilvl w:val="0"/>
          <w:numId w:val="39"/>
        </w:numPr>
        <w:rPr>
          <w:lang w:val="en-US"/>
        </w:rPr>
      </w:pPr>
      <w:r w:rsidRPr="005A6F03">
        <w:rPr>
          <w:b/>
          <w:lang w:val="en-US"/>
        </w:rPr>
        <w:t>More distributed deployments</w:t>
      </w:r>
      <w:r>
        <w:rPr>
          <w:lang w:val="en-US"/>
        </w:rPr>
        <w:t>. M2M applications will not necessarily be located in the same places as people. Many, such as smart metering or consumer electronics</w:t>
      </w:r>
      <w:r w:rsidR="00A24AAD">
        <w:rPr>
          <w:lang w:val="en-US"/>
        </w:rPr>
        <w:t>,</w:t>
      </w:r>
      <w:r>
        <w:rPr>
          <w:lang w:val="en-US"/>
        </w:rPr>
        <w:t xml:space="preserve"> map very neatly to where people live. Others will not. Agricultural applications, for instance, will create clusters of additional demand in previously lightly-covered rural areas.</w:t>
      </w:r>
    </w:p>
    <w:p w14:paraId="4C8A2838" w14:textId="3914DD5C" w:rsidR="005A6F03" w:rsidRDefault="005A6F03" w:rsidP="005E238B">
      <w:pPr>
        <w:pStyle w:val="ListParagraph"/>
        <w:numPr>
          <w:ilvl w:val="0"/>
          <w:numId w:val="39"/>
        </w:numPr>
        <w:rPr>
          <w:lang w:val="en-US"/>
        </w:rPr>
      </w:pPr>
      <w:r w:rsidRPr="005A6F03">
        <w:rPr>
          <w:b/>
          <w:lang w:val="en-US"/>
        </w:rPr>
        <w:t>G</w:t>
      </w:r>
      <w:r w:rsidR="005E238B" w:rsidRPr="005A6F03">
        <w:rPr>
          <w:b/>
          <w:lang w:val="en-US"/>
        </w:rPr>
        <w:t xml:space="preserve">reater demand for </w:t>
      </w:r>
      <w:r w:rsidRPr="005A6F03">
        <w:rPr>
          <w:b/>
          <w:lang w:val="en-US"/>
        </w:rPr>
        <w:t xml:space="preserve">more </w:t>
      </w:r>
      <w:r w:rsidR="005E238B" w:rsidRPr="005A6F03">
        <w:rPr>
          <w:b/>
          <w:lang w:val="en-US"/>
        </w:rPr>
        <w:t>reliable connections</w:t>
      </w:r>
      <w:r w:rsidR="005E238B">
        <w:rPr>
          <w:lang w:val="en-US"/>
        </w:rPr>
        <w:t xml:space="preserve">. </w:t>
      </w:r>
      <w:r>
        <w:rPr>
          <w:lang w:val="en-US"/>
        </w:rPr>
        <w:t>While connecting handsets, tablets and mobile broadband on a best-effort basis was acceptable, for M2M applications this may not be sufficient. Many applications are mission-critical</w:t>
      </w:r>
      <w:r w:rsidR="00A24AAD">
        <w:rPr>
          <w:lang w:val="en-US"/>
        </w:rPr>
        <w:t>,</w:t>
      </w:r>
      <w:r>
        <w:rPr>
          <w:lang w:val="en-US"/>
        </w:rPr>
        <w:t xml:space="preserve"> supporting supply chain efficiency, or handling payments. Others, most notably in the healthcare vertical, support life-critical applications. Here, best effort might not be enough. </w:t>
      </w:r>
      <w:r w:rsidR="00B90B96">
        <w:rPr>
          <w:lang w:val="en-US"/>
        </w:rPr>
        <w:t>It should also be noted that these mission-critical applications have the potential for carrying a substantial ARPU, making them appealing to MNOs.</w:t>
      </w:r>
    </w:p>
    <w:p w14:paraId="6B35B938" w14:textId="77777777" w:rsidR="003234D9" w:rsidRDefault="003234D9" w:rsidP="005E238B">
      <w:pPr>
        <w:pStyle w:val="ListParagraph"/>
        <w:numPr>
          <w:ilvl w:val="0"/>
          <w:numId w:val="39"/>
        </w:numPr>
        <w:rPr>
          <w:lang w:val="en-US"/>
        </w:rPr>
      </w:pPr>
      <w:r w:rsidRPr="003234D9">
        <w:rPr>
          <w:b/>
          <w:lang w:val="en-US"/>
        </w:rPr>
        <w:t>Near-real-time data analytics.</w:t>
      </w:r>
      <w:r>
        <w:rPr>
          <w:lang w:val="en-US"/>
        </w:rPr>
        <w:t xml:space="preserve"> This is related to the previous bullet, but increasingly within the Internet of Things, applications will want to institute real-time feedback between servers and applications based on analysis of the data coming from those applications. An example might be retail signage reacting to buyer </w:t>
      </w:r>
      <w:proofErr w:type="spellStart"/>
      <w:r>
        <w:rPr>
          <w:lang w:val="en-US"/>
        </w:rPr>
        <w:t>behaviour</w:t>
      </w:r>
      <w:proofErr w:type="spellEnd"/>
      <w:r>
        <w:rPr>
          <w:lang w:val="en-US"/>
        </w:rPr>
        <w:t>. Another might be white goods or HVAC (heating, ventilation and air conditioning) systems that react to dynamic electricity pricing information supplied to the smart meter. These devices will need to act increasingly in real-time, providing a greater demand for more robust systems with lower latency. It should be noted that actual real-time applications such as vehicle-to-vehicle communications, or remote surgery, are likely to be beyond cellular networks which will always be subject to the vagaries of the radio access network.</w:t>
      </w:r>
    </w:p>
    <w:p w14:paraId="070F8120" w14:textId="77777777" w:rsidR="005A6F03" w:rsidRDefault="005A6F03" w:rsidP="00AC733E">
      <w:pPr>
        <w:pStyle w:val="ListParagraph"/>
        <w:numPr>
          <w:ilvl w:val="0"/>
          <w:numId w:val="39"/>
        </w:numPr>
        <w:rPr>
          <w:lang w:val="en-US"/>
        </w:rPr>
      </w:pPr>
      <w:r w:rsidRPr="005A6F03">
        <w:rPr>
          <w:b/>
          <w:lang w:val="en-US"/>
        </w:rPr>
        <w:t>Different traffic patterns.</w:t>
      </w:r>
      <w:r w:rsidRPr="005A6F03">
        <w:rPr>
          <w:lang w:val="en-US"/>
        </w:rPr>
        <w:t xml:space="preserve"> Handsets, tablets and mobile broadband devices have typically four types of traffic patterns: voice calls, high volume data sessions, low volume messages, and low volume updates. </w:t>
      </w:r>
      <w:r>
        <w:rPr>
          <w:lang w:val="en-US"/>
        </w:rPr>
        <w:t>Mobile networks have been provisioned to cope with these types of communications. M2M devices generate traffic with many alternative patterns. In a lot of cases the device is simply sending a network ping to say ‘I am here’, or is reporting simple data on a regular basis. In both cases, the signaling overhead associated with the communication is substantial, given the very low volume of data being sent.</w:t>
      </w:r>
    </w:p>
    <w:p w14:paraId="78D94BC3" w14:textId="77777777" w:rsidR="00784839" w:rsidRPr="005A6F03" w:rsidRDefault="005A6F03" w:rsidP="005A6F03">
      <w:pPr>
        <w:rPr>
          <w:lang w:val="en-US"/>
        </w:rPr>
      </w:pPr>
      <w:r>
        <w:rPr>
          <w:lang w:val="en-US"/>
        </w:rPr>
        <w:t>Machina Research has been examining the diversity of M2M applications in a lot of detail</w:t>
      </w:r>
      <w:r>
        <w:rPr>
          <w:rStyle w:val="FootnoteReference"/>
          <w:lang w:val="en-US"/>
        </w:rPr>
        <w:footnoteReference w:id="1"/>
      </w:r>
      <w:r>
        <w:rPr>
          <w:lang w:val="en-US"/>
        </w:rPr>
        <w:t>, and the overwhelming message is that this is a sector characterized by diversity. In fact it is so diverse that it doesn’t qualify as a sector at all. It is a range of different use cases that</w:t>
      </w:r>
      <w:r w:rsidR="003234D9">
        <w:rPr>
          <w:lang w:val="en-US"/>
        </w:rPr>
        <w:t xml:space="preserve"> may benefit from connectivity. The above represents a small cross-section of the possible ways in which traffic created by M2M will generate new and different demands on the network.</w:t>
      </w:r>
    </w:p>
    <w:p w14:paraId="433C7F4F" w14:textId="10EB0A07" w:rsidR="00784839" w:rsidRDefault="00294E4E" w:rsidP="00784839">
      <w:pPr>
        <w:pStyle w:val="Heading1"/>
        <w:rPr>
          <w:lang w:val="en-US"/>
        </w:rPr>
      </w:pPr>
      <w:bookmarkStart w:id="4" w:name="_Ref417656082"/>
      <w:r>
        <w:rPr>
          <w:lang w:val="en-US"/>
        </w:rPr>
        <w:lastRenderedPageBreak/>
        <w:t xml:space="preserve">M2M growth necessitates intelligent network </w:t>
      </w:r>
      <w:bookmarkEnd w:id="4"/>
      <w:r w:rsidR="00DA3283">
        <w:rPr>
          <w:lang w:val="en-US"/>
        </w:rPr>
        <w:t>engineering and operations</w:t>
      </w:r>
    </w:p>
    <w:p w14:paraId="518FAD35" w14:textId="23EC6FCF" w:rsidR="00B94053" w:rsidRDefault="003234D9" w:rsidP="00784839">
      <w:pPr>
        <w:rPr>
          <w:lang w:val="en-US"/>
        </w:rPr>
      </w:pPr>
      <w:r>
        <w:rPr>
          <w:lang w:val="en-US"/>
        </w:rPr>
        <w:t xml:space="preserve">As identified in the sections above, the growth in M2M devices will have significant implications for mobile network operators and how networks are provisioned. This will not be particularly due to the amount of traffic generated but more where it is generated, when it is generated, the types of traffic generated and the criticality of the traffic. </w:t>
      </w:r>
      <w:r w:rsidR="000F607E">
        <w:rPr>
          <w:lang w:val="en-US"/>
        </w:rPr>
        <w:t xml:space="preserve">The result is that MNOs will often need to give more serious consideration to how to cope with demands for reduced latency, higher bandwidth, proportionately more signaling, and higher </w:t>
      </w:r>
      <w:proofErr w:type="spellStart"/>
      <w:r w:rsidR="000F607E">
        <w:rPr>
          <w:lang w:val="en-US"/>
        </w:rPr>
        <w:t>QoS</w:t>
      </w:r>
      <w:proofErr w:type="spellEnd"/>
      <w:r w:rsidR="000F607E">
        <w:rPr>
          <w:lang w:val="en-US"/>
        </w:rPr>
        <w:t xml:space="preserve">. </w:t>
      </w:r>
    </w:p>
    <w:p w14:paraId="40951A9D" w14:textId="0C224FAF" w:rsidR="000D1849" w:rsidRDefault="003234D9" w:rsidP="00784839">
      <w:pPr>
        <w:rPr>
          <w:lang w:val="en-US"/>
        </w:rPr>
      </w:pPr>
      <w:r>
        <w:rPr>
          <w:lang w:val="en-US"/>
        </w:rPr>
        <w:t xml:space="preserve">In this section we examine how MNOs should adjust their approach to </w:t>
      </w:r>
      <w:r w:rsidR="00DA3283">
        <w:rPr>
          <w:lang w:val="en-US"/>
        </w:rPr>
        <w:t xml:space="preserve">running their </w:t>
      </w:r>
      <w:r>
        <w:rPr>
          <w:lang w:val="en-US"/>
        </w:rPr>
        <w:t>network</w:t>
      </w:r>
      <w:r w:rsidR="00324764">
        <w:rPr>
          <w:lang w:val="en-US"/>
        </w:rPr>
        <w:t xml:space="preserve"> </w:t>
      </w:r>
      <w:r>
        <w:rPr>
          <w:lang w:val="en-US"/>
        </w:rPr>
        <w:t>to reflect the new reality.</w:t>
      </w:r>
      <w:r w:rsidR="00B90B96">
        <w:rPr>
          <w:lang w:val="en-US"/>
        </w:rPr>
        <w:t xml:space="preserve"> As noted in Section </w:t>
      </w:r>
      <w:r w:rsidR="00B90B96">
        <w:rPr>
          <w:lang w:val="en-US"/>
        </w:rPr>
        <w:fldChar w:fldCharType="begin"/>
      </w:r>
      <w:r w:rsidR="00B90B96">
        <w:rPr>
          <w:lang w:val="en-US"/>
        </w:rPr>
        <w:instrText xml:space="preserve"> REF _Ref417656088 \r \h </w:instrText>
      </w:r>
      <w:r w:rsidR="00B90B96">
        <w:rPr>
          <w:lang w:val="en-US"/>
        </w:rPr>
      </w:r>
      <w:r w:rsidR="00B90B96">
        <w:rPr>
          <w:lang w:val="en-US"/>
        </w:rPr>
        <w:fldChar w:fldCharType="separate"/>
      </w:r>
      <w:r w:rsidR="00E5036C">
        <w:rPr>
          <w:lang w:val="en-US"/>
        </w:rPr>
        <w:t>3</w:t>
      </w:r>
      <w:r w:rsidR="00B90B96">
        <w:rPr>
          <w:lang w:val="en-US"/>
        </w:rPr>
        <w:fldChar w:fldCharType="end"/>
      </w:r>
      <w:r w:rsidR="00B90B96">
        <w:rPr>
          <w:lang w:val="en-US"/>
        </w:rPr>
        <w:t>, above, t</w:t>
      </w:r>
      <w:r w:rsidR="000D1849">
        <w:rPr>
          <w:lang w:val="en-US"/>
        </w:rPr>
        <w:t>he main challenge associated with the growth of M2M relates to the diversity of demands on the network</w:t>
      </w:r>
      <w:r w:rsidR="00B90B96">
        <w:rPr>
          <w:lang w:val="en-US"/>
        </w:rPr>
        <w:t>, which has the potential to create headaches for the MNOs seeking to support them</w:t>
      </w:r>
      <w:r w:rsidR="000D1849">
        <w:rPr>
          <w:lang w:val="en-US"/>
        </w:rPr>
        <w:t xml:space="preserve">. </w:t>
      </w:r>
    </w:p>
    <w:p w14:paraId="22800F1E" w14:textId="1B57B302" w:rsidR="007125A9" w:rsidRDefault="007125A9" w:rsidP="00784839">
      <w:pPr>
        <w:rPr>
          <w:lang w:val="en-US"/>
        </w:rPr>
      </w:pPr>
      <w:r>
        <w:rPr>
          <w:lang w:val="en-US"/>
        </w:rPr>
        <w:t xml:space="preserve">There are a number of ways in which MNOs should think about network </w:t>
      </w:r>
      <w:r w:rsidR="00A02D58">
        <w:rPr>
          <w:lang w:val="en-US"/>
        </w:rPr>
        <w:t xml:space="preserve">engineering </w:t>
      </w:r>
      <w:r>
        <w:rPr>
          <w:lang w:val="en-US"/>
        </w:rPr>
        <w:t>in order to cope with the expected take-off in M2M connections:</w:t>
      </w:r>
    </w:p>
    <w:p w14:paraId="23A20AD9" w14:textId="0E7B23AE" w:rsidR="00741790" w:rsidRDefault="00741790" w:rsidP="00741790">
      <w:pPr>
        <w:pStyle w:val="ListParagraph"/>
        <w:numPr>
          <w:ilvl w:val="0"/>
          <w:numId w:val="40"/>
        </w:numPr>
        <w:rPr>
          <w:lang w:val="en-US"/>
        </w:rPr>
      </w:pPr>
      <w:r w:rsidRPr="00741790">
        <w:rPr>
          <w:b/>
          <w:lang w:val="en-US"/>
        </w:rPr>
        <w:t>Dynamic network management</w:t>
      </w:r>
      <w:r w:rsidR="007125A9">
        <w:rPr>
          <w:b/>
          <w:lang w:val="en-US"/>
        </w:rPr>
        <w:t xml:space="preserve"> and RAN optimisation</w:t>
      </w:r>
      <w:r w:rsidRPr="00741790">
        <w:rPr>
          <w:b/>
          <w:lang w:val="en-US"/>
        </w:rPr>
        <w:t>.</w:t>
      </w:r>
      <w:r>
        <w:rPr>
          <w:lang w:val="en-US"/>
        </w:rPr>
        <w:t xml:space="preserve"> As illustrated in the example above M2M has the potential to create more substantial peaks and troughs in data usage than more traditional cellular services have. As such, managing resources on the cell level will become more challenging. This applies both to the RAN and to backhaul.</w:t>
      </w:r>
      <w:r w:rsidR="00B94053">
        <w:rPr>
          <w:lang w:val="en-US"/>
        </w:rPr>
        <w:t xml:space="preserve"> In particular there will be a substantial variance in the demands that different devices have for network resources and </w:t>
      </w:r>
      <w:proofErr w:type="spellStart"/>
      <w:r w:rsidR="00B94053">
        <w:rPr>
          <w:lang w:val="en-US"/>
        </w:rPr>
        <w:t>QoS</w:t>
      </w:r>
      <w:proofErr w:type="spellEnd"/>
      <w:r w:rsidR="00B94053">
        <w:rPr>
          <w:lang w:val="en-US"/>
        </w:rPr>
        <w:t xml:space="preserve">. This necessitates a multi-faceted approach to network management that can cope with the varying demands of different device types for network capacity and quality of service. </w:t>
      </w:r>
    </w:p>
    <w:p w14:paraId="35326358" w14:textId="2514766C" w:rsidR="00741790" w:rsidRDefault="00B90B96" w:rsidP="00AC733E">
      <w:pPr>
        <w:pStyle w:val="ListParagraph"/>
        <w:numPr>
          <w:ilvl w:val="0"/>
          <w:numId w:val="40"/>
        </w:numPr>
        <w:rPr>
          <w:lang w:val="en-US"/>
        </w:rPr>
      </w:pPr>
      <w:r w:rsidRPr="00B94053">
        <w:rPr>
          <w:b/>
          <w:lang w:val="en-US"/>
        </w:rPr>
        <w:t>Support for greater diversity in access networks.</w:t>
      </w:r>
      <w:r w:rsidRPr="00B94053">
        <w:rPr>
          <w:lang w:val="en-US"/>
        </w:rPr>
        <w:t xml:space="preserve"> MNOs are increasingly going to need to support devices connected to a variety of different access networks, as appropriate to reflect the requirements of the application. Connected home applications, for instance, will demand </w:t>
      </w:r>
      <w:proofErr w:type="spellStart"/>
      <w:r w:rsidRPr="00B94053">
        <w:rPr>
          <w:lang w:val="en-US"/>
        </w:rPr>
        <w:t>WiFi</w:t>
      </w:r>
      <w:proofErr w:type="spellEnd"/>
      <w:r w:rsidRPr="00B94053">
        <w:rPr>
          <w:lang w:val="en-US"/>
        </w:rPr>
        <w:t xml:space="preserve">, while remote low power sensors </w:t>
      </w:r>
      <w:r w:rsidR="006B4F8C">
        <w:rPr>
          <w:lang w:val="en-US"/>
        </w:rPr>
        <w:t>might be more appropriately connected via</w:t>
      </w:r>
      <w:r w:rsidRPr="00B94053">
        <w:rPr>
          <w:lang w:val="en-US"/>
        </w:rPr>
        <w:t xml:space="preserve"> one of the new Low Power Wide Area (LPWA) networks. MNOs will be adding more access networks to their portfolio and they will need to manage them</w:t>
      </w:r>
      <w:r w:rsidR="006B4F8C">
        <w:rPr>
          <w:lang w:val="en-US"/>
        </w:rPr>
        <w:t>,</w:t>
      </w:r>
      <w:r w:rsidRPr="00B94053">
        <w:rPr>
          <w:lang w:val="en-US"/>
        </w:rPr>
        <w:t xml:space="preserve"> and the inter-relationship between then, effectively.</w:t>
      </w:r>
      <w:r w:rsidR="00B94053" w:rsidRPr="00B94053">
        <w:rPr>
          <w:lang w:val="en-US"/>
        </w:rPr>
        <w:t xml:space="preserve"> A sub-issue here is that several different types of spectrum will be used, including traditional licensed spectrum, unlicensed ISM band, </w:t>
      </w:r>
      <w:r w:rsidR="00B94053">
        <w:rPr>
          <w:lang w:val="en-US"/>
        </w:rPr>
        <w:t>white space shared spectrum, and potentially some private or pseudo-private networks.</w:t>
      </w:r>
    </w:p>
    <w:p w14:paraId="0352E246" w14:textId="6F5214C3" w:rsidR="00CA5265" w:rsidRPr="00B94053" w:rsidRDefault="0018036A" w:rsidP="00AC733E">
      <w:pPr>
        <w:pStyle w:val="ListParagraph"/>
        <w:numPr>
          <w:ilvl w:val="0"/>
          <w:numId w:val="40"/>
        </w:numPr>
        <w:rPr>
          <w:lang w:val="en-US"/>
        </w:rPr>
      </w:pPr>
      <w:r>
        <w:rPr>
          <w:b/>
          <w:lang w:val="en-US"/>
        </w:rPr>
        <w:t>An increased focus on device management.</w:t>
      </w:r>
      <w:r>
        <w:rPr>
          <w:lang w:val="en-US"/>
        </w:rPr>
        <w:t xml:space="preserve"> As</w:t>
      </w:r>
      <w:r w:rsidR="0054077C">
        <w:rPr>
          <w:lang w:val="en-US"/>
        </w:rPr>
        <w:t xml:space="preserve"> M2M</w:t>
      </w:r>
      <w:r>
        <w:rPr>
          <w:lang w:val="en-US"/>
        </w:rPr>
        <w:t xml:space="preserve"> grows, the number and diversity of devices connecting to a network will increase exponentially. Each of these devices has the potential to introduce interference into the network and degrade quality of service for all other users. A </w:t>
      </w:r>
      <w:r w:rsidR="00146FB3">
        <w:rPr>
          <w:lang w:val="en-US"/>
        </w:rPr>
        <w:t xml:space="preserve">robust </w:t>
      </w:r>
      <w:r>
        <w:rPr>
          <w:lang w:val="en-US"/>
        </w:rPr>
        <w:t>certification process for all devices connecting to the network will be required as will service assurance capabilitie</w:t>
      </w:r>
      <w:r w:rsidR="00146FB3">
        <w:rPr>
          <w:lang w:val="en-US"/>
        </w:rPr>
        <w:t>s which can identify</w:t>
      </w:r>
      <w:r>
        <w:rPr>
          <w:lang w:val="en-US"/>
        </w:rPr>
        <w:t xml:space="preserve"> devices causing </w:t>
      </w:r>
      <w:r w:rsidR="00146FB3">
        <w:rPr>
          <w:lang w:val="en-US"/>
        </w:rPr>
        <w:t>degradation</w:t>
      </w:r>
      <w:r>
        <w:rPr>
          <w:lang w:val="en-US"/>
        </w:rPr>
        <w:t xml:space="preserve"> on the network.</w:t>
      </w:r>
    </w:p>
    <w:p w14:paraId="757346BF" w14:textId="1D0FC728" w:rsidR="00B94053" w:rsidRDefault="00B94053" w:rsidP="00B94053">
      <w:pPr>
        <w:pStyle w:val="ListParagraph"/>
        <w:numPr>
          <w:ilvl w:val="0"/>
          <w:numId w:val="40"/>
        </w:numPr>
        <w:rPr>
          <w:lang w:val="en-US"/>
        </w:rPr>
      </w:pPr>
      <w:r w:rsidRPr="007125A9">
        <w:rPr>
          <w:b/>
          <w:lang w:val="en-US"/>
        </w:rPr>
        <w:t>More sophisticated planning tools.</w:t>
      </w:r>
      <w:r>
        <w:rPr>
          <w:lang w:val="en-US"/>
        </w:rPr>
        <w:t xml:space="preserve"> The new reality for MNOs is that within the next 10 years in some cells up to </w:t>
      </w:r>
      <w:r w:rsidR="006B4F8C">
        <w:rPr>
          <w:lang w:val="en-US"/>
        </w:rPr>
        <w:t>two-thirds</w:t>
      </w:r>
      <w:r>
        <w:rPr>
          <w:lang w:val="en-US"/>
        </w:rPr>
        <w:t xml:space="preserve"> of connections might be M2M. MNOs need planning </w:t>
      </w:r>
      <w:r>
        <w:rPr>
          <w:lang w:val="en-US"/>
        </w:rPr>
        <w:lastRenderedPageBreak/>
        <w:t xml:space="preserve">tools that reflect this diversity and allow for suitably advanced forecasting, capacity planning and modelling, in particular taking account of issues such as varying </w:t>
      </w:r>
      <w:proofErr w:type="spellStart"/>
      <w:r>
        <w:rPr>
          <w:lang w:val="en-US"/>
        </w:rPr>
        <w:t>QoS</w:t>
      </w:r>
      <w:proofErr w:type="spellEnd"/>
      <w:r>
        <w:rPr>
          <w:lang w:val="en-US"/>
        </w:rPr>
        <w:t xml:space="preserve"> and different access technologies, as outlined in the bullets above.</w:t>
      </w:r>
    </w:p>
    <w:p w14:paraId="3EA2C617" w14:textId="77777777" w:rsidR="00B94053" w:rsidRDefault="007125A9" w:rsidP="007125A9">
      <w:pPr>
        <w:pStyle w:val="ListParagraph"/>
        <w:numPr>
          <w:ilvl w:val="0"/>
          <w:numId w:val="40"/>
        </w:numPr>
        <w:rPr>
          <w:lang w:val="en-US"/>
        </w:rPr>
      </w:pPr>
      <w:r>
        <w:rPr>
          <w:b/>
          <w:lang w:val="en-US"/>
        </w:rPr>
        <w:t xml:space="preserve">More considered approach to spectrum </w:t>
      </w:r>
      <w:proofErr w:type="spellStart"/>
      <w:r>
        <w:rPr>
          <w:b/>
          <w:lang w:val="en-US"/>
        </w:rPr>
        <w:t>refarming</w:t>
      </w:r>
      <w:proofErr w:type="spellEnd"/>
      <w:r>
        <w:rPr>
          <w:b/>
          <w:lang w:val="en-US"/>
        </w:rPr>
        <w:t>.</w:t>
      </w:r>
      <w:r>
        <w:rPr>
          <w:lang w:val="en-US"/>
        </w:rPr>
        <w:t xml:space="preserve"> M2M devices are more sensitive to spectrum </w:t>
      </w:r>
      <w:proofErr w:type="spellStart"/>
      <w:r>
        <w:rPr>
          <w:lang w:val="en-US"/>
        </w:rPr>
        <w:t>refarming</w:t>
      </w:r>
      <w:proofErr w:type="spellEnd"/>
      <w:r>
        <w:rPr>
          <w:lang w:val="en-US"/>
        </w:rPr>
        <w:t xml:space="preserve">. They will often have lifespans measured in decades and be in hard-to-reach places where it is expensive to swap them out. </w:t>
      </w:r>
      <w:r w:rsidR="00B94053">
        <w:rPr>
          <w:lang w:val="en-US"/>
        </w:rPr>
        <w:t xml:space="preserve">As a result, MNOs will need to be more considerate of how they </w:t>
      </w:r>
      <w:proofErr w:type="spellStart"/>
      <w:r w:rsidR="00B94053">
        <w:rPr>
          <w:lang w:val="en-US"/>
        </w:rPr>
        <w:t>refarm</w:t>
      </w:r>
      <w:proofErr w:type="spellEnd"/>
      <w:r w:rsidR="00B94053">
        <w:rPr>
          <w:lang w:val="en-US"/>
        </w:rPr>
        <w:t xml:space="preserve"> spectrum and the impact it will have on the installed base of M2M devices.</w:t>
      </w:r>
    </w:p>
    <w:p w14:paraId="191F8F7D" w14:textId="01580CAC" w:rsidR="00784839" w:rsidRPr="000F607E" w:rsidRDefault="000F607E" w:rsidP="000F607E">
      <w:pPr>
        <w:rPr>
          <w:lang w:val="en-US"/>
        </w:rPr>
      </w:pPr>
      <w:r>
        <w:rPr>
          <w:lang w:val="en-US"/>
        </w:rPr>
        <w:t>The implication is that to properly get to grips with the growth of M2M, MNOs will need to give more consideration to planning</w:t>
      </w:r>
      <w:r w:rsidR="005C3F7F">
        <w:rPr>
          <w:lang w:val="en-US"/>
        </w:rPr>
        <w:t xml:space="preserve"> and running their network</w:t>
      </w:r>
      <w:r>
        <w:rPr>
          <w:lang w:val="en-US"/>
        </w:rPr>
        <w:t xml:space="preserve">. </w:t>
      </w:r>
    </w:p>
    <w:p w14:paraId="6AD06E79" w14:textId="77777777" w:rsidR="00784839" w:rsidRDefault="00784839" w:rsidP="00784839">
      <w:pPr>
        <w:pStyle w:val="Heading1"/>
        <w:rPr>
          <w:lang w:val="en-US"/>
        </w:rPr>
      </w:pPr>
      <w:bookmarkStart w:id="5" w:name="_Ref416853253"/>
      <w:r>
        <w:rPr>
          <w:lang w:val="en-US"/>
        </w:rPr>
        <w:t>Methodology</w:t>
      </w:r>
      <w:bookmarkEnd w:id="5"/>
    </w:p>
    <w:p w14:paraId="592AFD69" w14:textId="77777777" w:rsidR="00784839" w:rsidRDefault="005231CA" w:rsidP="00784839">
      <w:pPr>
        <w:rPr>
          <w:lang w:val="en-US"/>
        </w:rPr>
      </w:pPr>
      <w:r>
        <w:rPr>
          <w:lang w:val="en-US"/>
        </w:rPr>
        <w:t>This assessment of the impact of traffic growth from M2M connections is based on data extracted from Machina Research’s M2M Forecast Database, which looks at total market growth, supplemented with cell-level analysis to identify the impact that M2M connection and traffic growth might have on the traffic within a specific cell.</w:t>
      </w:r>
    </w:p>
    <w:p w14:paraId="61487CE2" w14:textId="77777777" w:rsidR="00427474" w:rsidRDefault="00427474" w:rsidP="00427474">
      <w:pPr>
        <w:pStyle w:val="Heading2"/>
        <w:rPr>
          <w:lang w:val="en-US"/>
        </w:rPr>
      </w:pPr>
      <w:r>
        <w:rPr>
          <w:lang w:val="en-US"/>
        </w:rPr>
        <w:t xml:space="preserve">The </w:t>
      </w:r>
      <w:r w:rsidR="003234D9">
        <w:rPr>
          <w:lang w:val="en-US"/>
        </w:rPr>
        <w:t xml:space="preserve">Machina Research </w:t>
      </w:r>
      <w:r>
        <w:rPr>
          <w:lang w:val="en-US"/>
        </w:rPr>
        <w:t>M2M Forecast Database</w:t>
      </w:r>
    </w:p>
    <w:p w14:paraId="34EBDED7" w14:textId="77777777" w:rsidR="00EC6D98" w:rsidRDefault="005231CA" w:rsidP="008745C8">
      <w:bookmarkStart w:id="6" w:name="_Toc350273144"/>
      <w:bookmarkStart w:id="7" w:name="_Toc292893282"/>
      <w:bookmarkStart w:id="8" w:name="_Toc304813582"/>
      <w:r w:rsidRPr="005231CA">
        <w:t xml:space="preserve">Machina Research has the most granular forecasts of the M2M and IoT market opportunities. </w:t>
      </w:r>
      <w:r>
        <w:t>Our methodology is highly rigorous, based on extensive data gathering and analysis. It is also very granular, with analysis of around 200 different applications for every country in the world. The</w:t>
      </w:r>
      <w:r w:rsidRPr="005231CA">
        <w:t xml:space="preserve"> </w:t>
      </w:r>
      <w:r>
        <w:t xml:space="preserve">ten year </w:t>
      </w:r>
      <w:r w:rsidRPr="005231CA">
        <w:t>forecasts include numbers of connections, technologies splits and the associated traffic and revenue</w:t>
      </w:r>
      <w:r>
        <w:rPr>
          <w:rStyle w:val="FootnoteReference"/>
        </w:rPr>
        <w:footnoteReference w:id="2"/>
      </w:r>
      <w:r w:rsidRPr="005231CA">
        <w:t>.</w:t>
      </w:r>
      <w:r>
        <w:t xml:space="preserve"> </w:t>
      </w:r>
      <w:r w:rsidR="004E5B58">
        <w:t>Particularly relevant to this study, one of our key sectors is ‘Connected Car’, where</w:t>
      </w:r>
      <w:r w:rsidRPr="005231CA">
        <w:t xml:space="preserve"> we track and forecast 11 different applications (including </w:t>
      </w:r>
      <w:r>
        <w:t xml:space="preserve">the likes of </w:t>
      </w:r>
      <w:r w:rsidRPr="005231CA">
        <w:t xml:space="preserve">entertainment, </w:t>
      </w:r>
      <w:r w:rsidR="004E5B58">
        <w:t xml:space="preserve">fleet management, </w:t>
      </w:r>
      <w:r w:rsidRPr="005231CA">
        <w:t>navigation, stolen vehicle recovery</w:t>
      </w:r>
      <w:r w:rsidR="004E5B58">
        <w:t>, usage-based insurance,</w:t>
      </w:r>
      <w:r w:rsidRPr="005231CA">
        <w:t xml:space="preserve"> and veh</w:t>
      </w:r>
      <w:r>
        <w:t>icle diagnostics).</w:t>
      </w:r>
      <w:r w:rsidR="004E5B58">
        <w:t xml:space="preserve"> This includes analysis of both factory-fit embedded connections and the applications supported on those connections, as well as application-specific ‘aftermarket’ devices, added into the vehicle after production</w:t>
      </w:r>
      <w:r w:rsidR="004E5B58">
        <w:rPr>
          <w:rStyle w:val="FootnoteReference"/>
        </w:rPr>
        <w:footnoteReference w:id="3"/>
      </w:r>
      <w:r w:rsidR="004E5B58">
        <w:t>. Under the umbrella of Connected Car we also include assessment of commercial vehicles and motorcycles.</w:t>
      </w:r>
    </w:p>
    <w:p w14:paraId="57D0B7CB" w14:textId="77777777" w:rsidR="00427474" w:rsidRDefault="00427474" w:rsidP="00427474">
      <w:pPr>
        <w:pStyle w:val="Heading2"/>
      </w:pPr>
      <w:r>
        <w:lastRenderedPageBreak/>
        <w:t>Peak demand analysis</w:t>
      </w:r>
    </w:p>
    <w:p w14:paraId="7D27D0D7" w14:textId="29EACC5F" w:rsidR="004E5B58" w:rsidRDefault="004E5B58" w:rsidP="008745C8">
      <w:r>
        <w:t xml:space="preserve">The M2M Forecast Database gives us a starting point for the total amount of traffic generated by M2M devices (as well as PCs, handsets, tablets and other more traditional devices). Clearly the volumes of such traffic are growing substantially (as illustrated in Section </w:t>
      </w:r>
      <w:r>
        <w:fldChar w:fldCharType="begin"/>
      </w:r>
      <w:r>
        <w:instrText xml:space="preserve"> REF _Ref416847401 \r \h </w:instrText>
      </w:r>
      <w:r>
        <w:fldChar w:fldCharType="separate"/>
      </w:r>
      <w:r w:rsidR="00E5036C">
        <w:t>2</w:t>
      </w:r>
      <w:r>
        <w:fldChar w:fldCharType="end"/>
      </w:r>
      <w:r>
        <w:t xml:space="preserve">, above). However, looking at the total amount of traffic misses the main impact. More important is how much impact M2M </w:t>
      </w:r>
      <w:r w:rsidR="000C68EE">
        <w:t xml:space="preserve">will </w:t>
      </w:r>
      <w:r>
        <w:t>have on traffic generated in specific cells during the busy hour (i.e. what is the peak demand that the network will have to manage).</w:t>
      </w:r>
    </w:p>
    <w:p w14:paraId="7B83D019" w14:textId="77777777" w:rsidR="00427474" w:rsidRDefault="00585BF8" w:rsidP="008745C8">
      <w:r>
        <w:t>T</w:t>
      </w:r>
      <w:r w:rsidRPr="00585BF8">
        <w:t xml:space="preserve">he key measure </w:t>
      </w:r>
      <w:r>
        <w:t xml:space="preserve">of impact of M2M growth in network capacity </w:t>
      </w:r>
      <w:r w:rsidRPr="00585BF8">
        <w:t xml:space="preserve">should relate to peak demand in a specific location. </w:t>
      </w:r>
      <w:r>
        <w:t xml:space="preserve">Our hypothesis is that </w:t>
      </w:r>
      <w:r w:rsidRPr="00585BF8">
        <w:t xml:space="preserve">abnormal additional load from </w:t>
      </w:r>
      <w:r>
        <w:t xml:space="preserve">particular types of device might cause significant spikes in demand. This would only apply to certain M2M applications. Many, such as smart meters, home automation, vending machines or road sensors, are either predictable or manageable, both in terms of where the devices will be, and how much traffic they might generate. Where traffic is predictable, so is network resourcing. However, there are applications where device location might be unpredictable, such as agriculture, where large amounts of monitored cattle might suddenly appear on a cell. Similarly there are applications where volume of usage might spike based on less-than-predictable factors; an example might be blue-light services attending an emergency, which might also be combined with a spike in alarms and other traffic. </w:t>
      </w:r>
    </w:p>
    <w:p w14:paraId="0AD34300" w14:textId="77777777" w:rsidR="00427474" w:rsidRDefault="00585BF8" w:rsidP="008745C8">
      <w:r>
        <w:t xml:space="preserve">One set of applications is potentially subject to both trends: automotive. With regard to cellular networks, the single biggest set of applications, both in terms of connections and traffic is in automotive. </w:t>
      </w:r>
      <w:r w:rsidR="00477B4F">
        <w:t xml:space="preserve">And it is notable that they are subject to spikes in usage (based on user interaction and various other factors), as well as the potential for having large numbers of devices appear in clusters in particular locations. </w:t>
      </w:r>
    </w:p>
    <w:p w14:paraId="65BE0A79" w14:textId="77777777" w:rsidR="00585BF8" w:rsidRDefault="00477B4F" w:rsidP="008745C8">
      <w:r>
        <w:t>The question is: might the growth in connected cars cause significant uplift in traffic in particular areas in less-than-predictable ways, and will this have an impact on user satisfaction? Boiled down: c</w:t>
      </w:r>
      <w:r w:rsidR="00585BF8" w:rsidRPr="00585BF8">
        <w:t>ould traffic jams result in</w:t>
      </w:r>
      <w:r w:rsidR="00CA5C72">
        <w:t xml:space="preserve"> a significant spike in data usage in particular cells, which might cause</w:t>
      </w:r>
      <w:r w:rsidR="00585BF8" w:rsidRPr="00585BF8">
        <w:t xml:space="preserve"> dropped data sessions and incr</w:t>
      </w:r>
      <w:r>
        <w:t>eased customer dissatisfaction</w:t>
      </w:r>
      <w:r w:rsidR="00CA5C72">
        <w:t>,</w:t>
      </w:r>
      <w:r>
        <w:t xml:space="preserve"> and w</w:t>
      </w:r>
      <w:r w:rsidR="00585BF8" w:rsidRPr="00585BF8">
        <w:t xml:space="preserve">ill MNOs have to </w:t>
      </w:r>
      <w:r>
        <w:t>act</w:t>
      </w:r>
      <w:r w:rsidR="00585BF8" w:rsidRPr="00585BF8">
        <w:t xml:space="preserve"> to cope with those unevenly distributed abnormal additional loads?</w:t>
      </w:r>
    </w:p>
    <w:p w14:paraId="46A4BBFE" w14:textId="77777777" w:rsidR="00427474" w:rsidRDefault="00427474" w:rsidP="00427474">
      <w:pPr>
        <w:pStyle w:val="Heading2"/>
      </w:pPr>
      <w:r>
        <w:t xml:space="preserve">Modelling assumptions for automotive M2M impact on localised traffic demand </w:t>
      </w:r>
    </w:p>
    <w:p w14:paraId="38CCD8AA" w14:textId="77777777" w:rsidR="00427474" w:rsidRDefault="00427474" w:rsidP="008745C8">
      <w:r>
        <w:t xml:space="preserve">The exercise undertaken for this study therefore involves modelling the impact that unpredictable patterns for connected cars might have on total </w:t>
      </w:r>
      <w:r w:rsidR="008745C8">
        <w:t xml:space="preserve">mobile network </w:t>
      </w:r>
      <w:r>
        <w:t xml:space="preserve">traffic in particular localised areas, i.e. individual cells. </w:t>
      </w:r>
    </w:p>
    <w:p w14:paraId="25A0BFFC" w14:textId="77777777" w:rsidR="00CA5C72" w:rsidRPr="00CA5C72" w:rsidRDefault="00CA5C72" w:rsidP="00CA5C72">
      <w:pPr>
        <w:jc w:val="left"/>
      </w:pPr>
      <w:r w:rsidRPr="00CA5C72">
        <w:t>The start</w:t>
      </w:r>
      <w:r w:rsidR="007C7997">
        <w:t>ing point for the modelling is four</w:t>
      </w:r>
      <w:r w:rsidRPr="00CA5C72">
        <w:t xml:space="preserve"> types of cells:</w:t>
      </w:r>
    </w:p>
    <w:p w14:paraId="22F1F24D" w14:textId="77777777" w:rsidR="00CA5C72" w:rsidRPr="00CA5C72" w:rsidRDefault="00CA5C72" w:rsidP="00CA5C72">
      <w:pPr>
        <w:pStyle w:val="ListParagraph"/>
        <w:numPr>
          <w:ilvl w:val="0"/>
          <w:numId w:val="35"/>
        </w:numPr>
        <w:jc w:val="left"/>
      </w:pPr>
      <w:r w:rsidRPr="00CA5C72">
        <w:t>Urban</w:t>
      </w:r>
    </w:p>
    <w:p w14:paraId="36E93FF3" w14:textId="77777777" w:rsidR="00CA5C72" w:rsidRPr="00CA5C72" w:rsidRDefault="00CA5C72" w:rsidP="00CA5C72">
      <w:pPr>
        <w:pStyle w:val="ListParagraph"/>
        <w:numPr>
          <w:ilvl w:val="0"/>
          <w:numId w:val="35"/>
        </w:numPr>
        <w:jc w:val="left"/>
      </w:pPr>
      <w:r w:rsidRPr="00CA5C72">
        <w:t>Sub-urban with major arterial road</w:t>
      </w:r>
    </w:p>
    <w:p w14:paraId="2D472E29" w14:textId="77777777" w:rsidR="00CA5C72" w:rsidRPr="00CA5C72" w:rsidRDefault="00CA5C72" w:rsidP="00CA5C72">
      <w:pPr>
        <w:pStyle w:val="ListParagraph"/>
        <w:numPr>
          <w:ilvl w:val="0"/>
          <w:numId w:val="35"/>
        </w:numPr>
        <w:jc w:val="left"/>
      </w:pPr>
      <w:r w:rsidRPr="00CA5C72">
        <w:t>Sub-urban</w:t>
      </w:r>
    </w:p>
    <w:p w14:paraId="1EC2AF6A" w14:textId="77777777" w:rsidR="00CA5C72" w:rsidRPr="00CA5C72" w:rsidRDefault="00CA5C72" w:rsidP="00CA5C72">
      <w:pPr>
        <w:pStyle w:val="ListParagraph"/>
        <w:numPr>
          <w:ilvl w:val="0"/>
          <w:numId w:val="35"/>
        </w:numPr>
        <w:jc w:val="left"/>
      </w:pPr>
      <w:r w:rsidRPr="00CA5C72">
        <w:lastRenderedPageBreak/>
        <w:t>Rural</w:t>
      </w:r>
    </w:p>
    <w:p w14:paraId="2DD04B27" w14:textId="7D3CD5AE" w:rsidR="00CA5C72" w:rsidRDefault="00CA5C72" w:rsidP="008745C8">
      <w:r>
        <w:t xml:space="preserve">For each of those we made </w:t>
      </w:r>
      <w:r w:rsidRPr="00CA5C72">
        <w:t xml:space="preserve">assumptions about size, number of people, </w:t>
      </w:r>
      <w:r w:rsidR="007C7997">
        <w:t>KM</w:t>
      </w:r>
      <w:r w:rsidRPr="00CA5C72">
        <w:t xml:space="preserve"> of road, cars per KM of road, etc.</w:t>
      </w:r>
      <w:r w:rsidR="007C7997">
        <w:t xml:space="preserve"> We </w:t>
      </w:r>
      <w:r w:rsidR="00427474">
        <w:t>model</w:t>
      </w:r>
      <w:r w:rsidR="007C7997">
        <w:t xml:space="preserve"> traffic for four types of device: handsets/tablets, PCs/laptops (mobile broadband), automotive, and other M2M. The key assumptions are listed i</w:t>
      </w:r>
      <w:r w:rsidR="007C7997" w:rsidRPr="00EB6257">
        <w:t xml:space="preserve">n </w:t>
      </w:r>
      <w:r w:rsidR="00427474" w:rsidRPr="00EB6257">
        <w:fldChar w:fldCharType="begin"/>
      </w:r>
      <w:r w:rsidR="00427474" w:rsidRPr="00EB6257">
        <w:instrText xml:space="preserve"> REF _Ref416851655 \h </w:instrText>
      </w:r>
      <w:r w:rsidR="00EB6257">
        <w:instrText xml:space="preserve"> \* MERGEFORMAT </w:instrText>
      </w:r>
      <w:r w:rsidR="00427474" w:rsidRPr="00EB6257">
        <w:fldChar w:fldCharType="separate"/>
      </w:r>
      <w:r w:rsidR="00E5036C" w:rsidRPr="00E5036C">
        <w:t>Figure 5</w:t>
      </w:r>
      <w:r w:rsidR="00E5036C" w:rsidRPr="00E5036C">
        <w:noBreakHyphen/>
        <w:t>1</w:t>
      </w:r>
      <w:r w:rsidR="00427474" w:rsidRPr="00EB6257">
        <w:fldChar w:fldCharType="end"/>
      </w:r>
      <w:r w:rsidR="00427474">
        <w:t xml:space="preserve"> </w:t>
      </w:r>
      <w:r w:rsidR="007C7997">
        <w:t>below</w:t>
      </w:r>
      <w:r w:rsidR="00427474">
        <w:t>.</w:t>
      </w:r>
    </w:p>
    <w:p w14:paraId="2ADFE23F" w14:textId="77777777" w:rsidR="00456FD9" w:rsidRPr="00456FD9" w:rsidRDefault="00456FD9" w:rsidP="00456FD9">
      <w:pPr>
        <w:pStyle w:val="Caption"/>
        <w:keepNext/>
        <w:rPr>
          <w:rStyle w:val="IntenseEmphasis"/>
          <w:b/>
        </w:rPr>
      </w:pPr>
      <w:bookmarkStart w:id="9" w:name="_Ref416851655"/>
      <w:r w:rsidRPr="00456FD9">
        <w:rPr>
          <w:rStyle w:val="IntenseEmphasis"/>
          <w:b/>
        </w:rPr>
        <w:t xml:space="preserve">Figure </w:t>
      </w:r>
      <w:r w:rsidRPr="00456FD9">
        <w:rPr>
          <w:rStyle w:val="IntenseEmphasis"/>
          <w:b/>
        </w:rPr>
        <w:fldChar w:fldCharType="begin"/>
      </w:r>
      <w:r w:rsidRPr="00456FD9">
        <w:rPr>
          <w:rStyle w:val="IntenseEmphasis"/>
          <w:b/>
        </w:rPr>
        <w:instrText xml:space="preserve"> STYLEREF 1 \s </w:instrText>
      </w:r>
      <w:r w:rsidRPr="00456FD9">
        <w:rPr>
          <w:rStyle w:val="IntenseEmphasis"/>
          <w:b/>
        </w:rPr>
        <w:fldChar w:fldCharType="separate"/>
      </w:r>
      <w:r w:rsidR="00E5036C">
        <w:rPr>
          <w:rStyle w:val="IntenseEmphasis"/>
          <w:b/>
          <w:noProof/>
        </w:rPr>
        <w:t>5</w:t>
      </w:r>
      <w:r w:rsidRPr="00456FD9">
        <w:rPr>
          <w:rStyle w:val="IntenseEmphasis"/>
          <w:b/>
        </w:rPr>
        <w:fldChar w:fldCharType="end"/>
      </w:r>
      <w:r w:rsidRPr="00456FD9">
        <w:rPr>
          <w:rStyle w:val="IntenseEmphasis"/>
          <w:b/>
        </w:rPr>
        <w:noBreakHyphen/>
      </w:r>
      <w:r w:rsidRPr="00456FD9">
        <w:rPr>
          <w:rStyle w:val="IntenseEmphasis"/>
          <w:b/>
        </w:rPr>
        <w:fldChar w:fldCharType="begin"/>
      </w:r>
      <w:r w:rsidRPr="00456FD9">
        <w:rPr>
          <w:rStyle w:val="IntenseEmphasis"/>
          <w:b/>
        </w:rPr>
        <w:instrText xml:space="preserve"> SEQ Figure \* ARABIC \s 1 </w:instrText>
      </w:r>
      <w:r w:rsidRPr="00456FD9">
        <w:rPr>
          <w:rStyle w:val="IntenseEmphasis"/>
          <w:b/>
        </w:rPr>
        <w:fldChar w:fldCharType="separate"/>
      </w:r>
      <w:r w:rsidR="00E5036C">
        <w:rPr>
          <w:rStyle w:val="IntenseEmphasis"/>
          <w:b/>
          <w:noProof/>
        </w:rPr>
        <w:t>1</w:t>
      </w:r>
      <w:r w:rsidRPr="00456FD9">
        <w:rPr>
          <w:rStyle w:val="IntenseEmphasis"/>
          <w:b/>
        </w:rPr>
        <w:fldChar w:fldCharType="end"/>
      </w:r>
      <w:bookmarkEnd w:id="9"/>
      <w:r w:rsidRPr="00456FD9">
        <w:rPr>
          <w:rStyle w:val="IntenseEmphasis"/>
          <w:b/>
        </w:rPr>
        <w:t>: Key modelling assumptions [Source: Machina Research, 2015]</w:t>
      </w:r>
    </w:p>
    <w:tbl>
      <w:tblPr>
        <w:tblStyle w:val="GridTable5Dark-Accent11"/>
        <w:tblW w:w="9360" w:type="dxa"/>
        <w:tblLook w:val="04A0" w:firstRow="1" w:lastRow="0" w:firstColumn="1" w:lastColumn="0" w:noHBand="0" w:noVBand="1"/>
      </w:tblPr>
      <w:tblGrid>
        <w:gridCol w:w="3052"/>
        <w:gridCol w:w="1505"/>
        <w:gridCol w:w="1435"/>
        <w:gridCol w:w="1684"/>
        <w:gridCol w:w="1684"/>
      </w:tblGrid>
      <w:tr w:rsidR="007C7997" w:rsidRPr="007C7997" w14:paraId="66955316" w14:textId="77777777" w:rsidTr="007C799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2" w:type="dxa"/>
            <w:noWrap/>
            <w:hideMark/>
          </w:tcPr>
          <w:p w14:paraId="69F764E0" w14:textId="77777777" w:rsidR="007C7997" w:rsidRPr="007C7997" w:rsidRDefault="007C7997" w:rsidP="007C7997">
            <w:pPr>
              <w:jc w:val="left"/>
              <w:rPr>
                <w:rFonts w:ascii="Times New Roman" w:eastAsia="Times New Roman" w:hAnsi="Times New Roman" w:cs="Times New Roman"/>
                <w:sz w:val="24"/>
                <w:szCs w:val="24"/>
                <w:lang w:eastAsia="en-GB"/>
              </w:rPr>
            </w:pPr>
          </w:p>
        </w:tc>
        <w:tc>
          <w:tcPr>
            <w:tcW w:w="1505" w:type="dxa"/>
            <w:noWrap/>
            <w:hideMark/>
          </w:tcPr>
          <w:p w14:paraId="52E5C4FC" w14:textId="77777777" w:rsidR="007C7997" w:rsidRPr="007C7997" w:rsidRDefault="007C7997" w:rsidP="007C79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C7997">
              <w:rPr>
                <w:rFonts w:ascii="Calibri" w:eastAsia="Times New Roman" w:hAnsi="Calibri" w:cs="Times New Roman"/>
                <w:lang w:eastAsia="en-GB"/>
              </w:rPr>
              <w:t>Cell A</w:t>
            </w:r>
          </w:p>
        </w:tc>
        <w:tc>
          <w:tcPr>
            <w:tcW w:w="1435" w:type="dxa"/>
            <w:noWrap/>
            <w:hideMark/>
          </w:tcPr>
          <w:p w14:paraId="53C2C8B1" w14:textId="77777777" w:rsidR="007C7997" w:rsidRPr="007C7997" w:rsidRDefault="007C7997" w:rsidP="007C79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C7997">
              <w:rPr>
                <w:rFonts w:ascii="Calibri" w:eastAsia="Times New Roman" w:hAnsi="Calibri" w:cs="Times New Roman"/>
                <w:lang w:eastAsia="en-GB"/>
              </w:rPr>
              <w:t>Cell B</w:t>
            </w:r>
          </w:p>
        </w:tc>
        <w:tc>
          <w:tcPr>
            <w:tcW w:w="1684" w:type="dxa"/>
            <w:noWrap/>
            <w:hideMark/>
          </w:tcPr>
          <w:p w14:paraId="729A23A3" w14:textId="77777777" w:rsidR="007C7997" w:rsidRPr="007C7997" w:rsidRDefault="007C7997" w:rsidP="007C79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C7997">
              <w:rPr>
                <w:rFonts w:ascii="Calibri" w:eastAsia="Times New Roman" w:hAnsi="Calibri" w:cs="Times New Roman"/>
                <w:lang w:eastAsia="en-GB"/>
              </w:rPr>
              <w:t>Cell C</w:t>
            </w:r>
          </w:p>
        </w:tc>
        <w:tc>
          <w:tcPr>
            <w:tcW w:w="1684" w:type="dxa"/>
            <w:noWrap/>
            <w:hideMark/>
          </w:tcPr>
          <w:p w14:paraId="1E560F4A" w14:textId="77777777" w:rsidR="007C7997" w:rsidRPr="007C7997" w:rsidRDefault="007C7997" w:rsidP="007C799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7C7997">
              <w:rPr>
                <w:rFonts w:ascii="Calibri" w:eastAsia="Times New Roman" w:hAnsi="Calibri" w:cs="Times New Roman"/>
                <w:lang w:eastAsia="en-GB"/>
              </w:rPr>
              <w:t>Cell D</w:t>
            </w:r>
          </w:p>
        </w:tc>
      </w:tr>
      <w:tr w:rsidR="007C7997" w:rsidRPr="007C7997" w14:paraId="108E7307" w14:textId="77777777" w:rsidTr="007C79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2" w:type="dxa"/>
            <w:noWrap/>
            <w:hideMark/>
          </w:tcPr>
          <w:p w14:paraId="09A15E98" w14:textId="77777777" w:rsidR="007C7997" w:rsidRPr="007C7997" w:rsidRDefault="007C7997" w:rsidP="007C7997">
            <w:pPr>
              <w:jc w:val="left"/>
              <w:rPr>
                <w:rFonts w:ascii="Calibri" w:eastAsia="Times New Roman" w:hAnsi="Calibri" w:cs="Times New Roman"/>
                <w:lang w:eastAsia="en-GB"/>
              </w:rPr>
            </w:pPr>
            <w:r w:rsidRPr="007C7997">
              <w:rPr>
                <w:rFonts w:ascii="Calibri" w:eastAsia="Times New Roman" w:hAnsi="Calibri" w:cs="Times New Roman"/>
                <w:lang w:eastAsia="en-GB"/>
              </w:rPr>
              <w:t>Location</w:t>
            </w:r>
          </w:p>
        </w:tc>
        <w:tc>
          <w:tcPr>
            <w:tcW w:w="1505" w:type="dxa"/>
            <w:noWrap/>
            <w:hideMark/>
          </w:tcPr>
          <w:p w14:paraId="0EB69A67"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Urban</w:t>
            </w:r>
          </w:p>
        </w:tc>
        <w:tc>
          <w:tcPr>
            <w:tcW w:w="1435" w:type="dxa"/>
            <w:noWrap/>
            <w:hideMark/>
          </w:tcPr>
          <w:p w14:paraId="0E4E2934"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Sub-urban</w:t>
            </w:r>
          </w:p>
        </w:tc>
        <w:tc>
          <w:tcPr>
            <w:tcW w:w="1684" w:type="dxa"/>
            <w:noWrap/>
            <w:hideMark/>
          </w:tcPr>
          <w:p w14:paraId="678F63D0"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Sub-urban</w:t>
            </w:r>
          </w:p>
        </w:tc>
        <w:tc>
          <w:tcPr>
            <w:tcW w:w="1684" w:type="dxa"/>
            <w:noWrap/>
            <w:hideMark/>
          </w:tcPr>
          <w:p w14:paraId="02F51E0C"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Rural</w:t>
            </w:r>
          </w:p>
        </w:tc>
      </w:tr>
      <w:tr w:rsidR="007C7997" w:rsidRPr="007C7997" w14:paraId="6C13A5A6" w14:textId="77777777" w:rsidTr="00AC733E">
        <w:trPr>
          <w:trHeight w:val="300"/>
        </w:trPr>
        <w:tc>
          <w:tcPr>
            <w:cnfStyle w:val="001000000000" w:firstRow="0" w:lastRow="0" w:firstColumn="1" w:lastColumn="0" w:oddVBand="0" w:evenVBand="0" w:oddHBand="0" w:evenHBand="0" w:firstRowFirstColumn="0" w:firstRowLastColumn="0" w:lastRowFirstColumn="0" w:lastRowLastColumn="0"/>
            <w:tcW w:w="3052" w:type="dxa"/>
            <w:noWrap/>
            <w:hideMark/>
          </w:tcPr>
          <w:p w14:paraId="43DF7DA8" w14:textId="77777777" w:rsidR="007C7997" w:rsidRPr="007C7997" w:rsidRDefault="007C7997" w:rsidP="00AC733E">
            <w:pPr>
              <w:jc w:val="left"/>
              <w:rPr>
                <w:rFonts w:ascii="Calibri" w:eastAsia="Times New Roman" w:hAnsi="Calibri" w:cs="Times New Roman"/>
                <w:lang w:eastAsia="en-GB"/>
              </w:rPr>
            </w:pPr>
            <w:r w:rsidRPr="007C7997">
              <w:rPr>
                <w:rFonts w:ascii="Calibri" w:eastAsia="Times New Roman" w:hAnsi="Calibri" w:cs="Times New Roman"/>
                <w:lang w:eastAsia="en-GB"/>
              </w:rPr>
              <w:t>Road traffic patterns</w:t>
            </w:r>
          </w:p>
        </w:tc>
        <w:tc>
          <w:tcPr>
            <w:tcW w:w="1505" w:type="dxa"/>
            <w:noWrap/>
            <w:hideMark/>
          </w:tcPr>
          <w:p w14:paraId="6FE463A8" w14:textId="77777777" w:rsidR="007C7997" w:rsidRPr="007C7997" w:rsidRDefault="007C7997" w:rsidP="00AC73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Typical urban traffic</w:t>
            </w:r>
          </w:p>
        </w:tc>
        <w:tc>
          <w:tcPr>
            <w:tcW w:w="1435" w:type="dxa"/>
            <w:noWrap/>
            <w:hideMark/>
          </w:tcPr>
          <w:p w14:paraId="27D004C4" w14:textId="77777777" w:rsidR="007C7997" w:rsidRPr="007C7997" w:rsidRDefault="007C7997" w:rsidP="00AC73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Major arterial road</w:t>
            </w:r>
          </w:p>
        </w:tc>
        <w:tc>
          <w:tcPr>
            <w:tcW w:w="1684" w:type="dxa"/>
            <w:noWrap/>
            <w:hideMark/>
          </w:tcPr>
          <w:p w14:paraId="725399DC" w14:textId="77777777" w:rsidR="007C7997" w:rsidRPr="007C7997" w:rsidRDefault="007C7997" w:rsidP="00AC73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No major arterial road</w:t>
            </w:r>
          </w:p>
        </w:tc>
        <w:tc>
          <w:tcPr>
            <w:tcW w:w="1684" w:type="dxa"/>
            <w:noWrap/>
            <w:hideMark/>
          </w:tcPr>
          <w:p w14:paraId="0C4271C7" w14:textId="77777777" w:rsidR="007C7997" w:rsidRPr="007C7997" w:rsidRDefault="007C7997" w:rsidP="00AC73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No major arterial road</w:t>
            </w:r>
          </w:p>
        </w:tc>
      </w:tr>
      <w:tr w:rsidR="007C7997" w:rsidRPr="007C7997" w14:paraId="13044326" w14:textId="77777777" w:rsidTr="007C79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2" w:type="dxa"/>
            <w:noWrap/>
            <w:hideMark/>
          </w:tcPr>
          <w:p w14:paraId="48C6C0A6" w14:textId="77777777" w:rsidR="007C7997" w:rsidRPr="007C7997" w:rsidRDefault="007C7997" w:rsidP="007C7997">
            <w:pPr>
              <w:jc w:val="left"/>
              <w:rPr>
                <w:rFonts w:ascii="Calibri" w:eastAsia="Times New Roman" w:hAnsi="Calibri" w:cs="Times New Roman"/>
                <w:lang w:eastAsia="en-GB"/>
              </w:rPr>
            </w:pPr>
            <w:r w:rsidRPr="007C7997">
              <w:rPr>
                <w:rFonts w:ascii="Calibri" w:eastAsia="Times New Roman" w:hAnsi="Calibri" w:cs="Times New Roman"/>
                <w:lang w:eastAsia="en-GB"/>
              </w:rPr>
              <w:t>Area of cell sector (</w:t>
            </w:r>
            <w:proofErr w:type="spellStart"/>
            <w:r w:rsidRPr="007C7997">
              <w:rPr>
                <w:rFonts w:ascii="Calibri" w:eastAsia="Times New Roman" w:hAnsi="Calibri" w:cs="Times New Roman"/>
                <w:lang w:eastAsia="en-GB"/>
              </w:rPr>
              <w:t>sqm</w:t>
            </w:r>
            <w:proofErr w:type="spellEnd"/>
            <w:r w:rsidRPr="007C7997">
              <w:rPr>
                <w:rFonts w:ascii="Calibri" w:eastAsia="Times New Roman" w:hAnsi="Calibri" w:cs="Times New Roman"/>
                <w:lang w:eastAsia="en-GB"/>
              </w:rPr>
              <w:t>)</w:t>
            </w:r>
          </w:p>
        </w:tc>
        <w:tc>
          <w:tcPr>
            <w:tcW w:w="1505" w:type="dxa"/>
            <w:noWrap/>
            <w:hideMark/>
          </w:tcPr>
          <w:p w14:paraId="0BD97726"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500</w:t>
            </w:r>
          </w:p>
        </w:tc>
        <w:tc>
          <w:tcPr>
            <w:tcW w:w="1435" w:type="dxa"/>
            <w:noWrap/>
            <w:hideMark/>
          </w:tcPr>
          <w:p w14:paraId="30BCB44A"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1000</w:t>
            </w:r>
          </w:p>
        </w:tc>
        <w:tc>
          <w:tcPr>
            <w:tcW w:w="1684" w:type="dxa"/>
            <w:noWrap/>
            <w:hideMark/>
          </w:tcPr>
          <w:p w14:paraId="525D394C"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1000</w:t>
            </w:r>
          </w:p>
        </w:tc>
        <w:tc>
          <w:tcPr>
            <w:tcW w:w="1684" w:type="dxa"/>
            <w:noWrap/>
            <w:hideMark/>
          </w:tcPr>
          <w:p w14:paraId="5D6BFE36"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5000</w:t>
            </w:r>
          </w:p>
        </w:tc>
      </w:tr>
      <w:tr w:rsidR="007C7997" w:rsidRPr="007C7997" w14:paraId="00B99AC5" w14:textId="77777777" w:rsidTr="007C7997">
        <w:trPr>
          <w:trHeight w:val="300"/>
        </w:trPr>
        <w:tc>
          <w:tcPr>
            <w:cnfStyle w:val="001000000000" w:firstRow="0" w:lastRow="0" w:firstColumn="1" w:lastColumn="0" w:oddVBand="0" w:evenVBand="0" w:oddHBand="0" w:evenHBand="0" w:firstRowFirstColumn="0" w:firstRowLastColumn="0" w:lastRowFirstColumn="0" w:lastRowLastColumn="0"/>
            <w:tcW w:w="3052" w:type="dxa"/>
            <w:noWrap/>
            <w:hideMark/>
          </w:tcPr>
          <w:p w14:paraId="2590C101" w14:textId="77777777" w:rsidR="007C7997" w:rsidRPr="007C7997" w:rsidRDefault="007C7997" w:rsidP="007C7997">
            <w:pPr>
              <w:jc w:val="left"/>
              <w:rPr>
                <w:rFonts w:ascii="Calibri" w:eastAsia="Times New Roman" w:hAnsi="Calibri" w:cs="Times New Roman"/>
                <w:lang w:eastAsia="en-GB"/>
              </w:rPr>
            </w:pPr>
            <w:r w:rsidRPr="007C7997">
              <w:rPr>
                <w:rFonts w:ascii="Calibri" w:eastAsia="Times New Roman" w:hAnsi="Calibri" w:cs="Times New Roman"/>
                <w:lang w:eastAsia="en-GB"/>
              </w:rPr>
              <w:t xml:space="preserve">People per </w:t>
            </w:r>
            <w:proofErr w:type="spellStart"/>
            <w:r w:rsidRPr="007C7997">
              <w:rPr>
                <w:rFonts w:ascii="Calibri" w:eastAsia="Times New Roman" w:hAnsi="Calibri" w:cs="Times New Roman"/>
                <w:lang w:eastAsia="en-GB"/>
              </w:rPr>
              <w:t>sqkm</w:t>
            </w:r>
            <w:proofErr w:type="spellEnd"/>
          </w:p>
        </w:tc>
        <w:tc>
          <w:tcPr>
            <w:tcW w:w="1505" w:type="dxa"/>
            <w:noWrap/>
            <w:hideMark/>
          </w:tcPr>
          <w:p w14:paraId="3D48FFAE"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2000</w:t>
            </w:r>
          </w:p>
        </w:tc>
        <w:tc>
          <w:tcPr>
            <w:tcW w:w="1435" w:type="dxa"/>
            <w:noWrap/>
            <w:hideMark/>
          </w:tcPr>
          <w:p w14:paraId="34859885"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500</w:t>
            </w:r>
          </w:p>
        </w:tc>
        <w:tc>
          <w:tcPr>
            <w:tcW w:w="1684" w:type="dxa"/>
            <w:noWrap/>
            <w:hideMark/>
          </w:tcPr>
          <w:p w14:paraId="0438E5C9"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500</w:t>
            </w:r>
          </w:p>
        </w:tc>
        <w:tc>
          <w:tcPr>
            <w:tcW w:w="1684" w:type="dxa"/>
            <w:noWrap/>
            <w:hideMark/>
          </w:tcPr>
          <w:p w14:paraId="15D3FDBB"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50</w:t>
            </w:r>
          </w:p>
        </w:tc>
      </w:tr>
      <w:tr w:rsidR="007C7997" w:rsidRPr="007C7997" w14:paraId="1366342D" w14:textId="77777777" w:rsidTr="007C79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2" w:type="dxa"/>
            <w:noWrap/>
            <w:hideMark/>
          </w:tcPr>
          <w:p w14:paraId="6B733501" w14:textId="77777777" w:rsidR="007C7997" w:rsidRPr="007C7997" w:rsidRDefault="007C7997" w:rsidP="007C7997">
            <w:pPr>
              <w:jc w:val="left"/>
              <w:rPr>
                <w:rFonts w:ascii="Calibri" w:eastAsia="Times New Roman" w:hAnsi="Calibri" w:cs="Times New Roman"/>
                <w:lang w:eastAsia="en-GB"/>
              </w:rPr>
            </w:pPr>
            <w:r w:rsidRPr="007C7997">
              <w:rPr>
                <w:rFonts w:ascii="Calibri" w:eastAsia="Times New Roman" w:hAnsi="Calibri" w:cs="Times New Roman"/>
                <w:lang w:eastAsia="en-GB"/>
              </w:rPr>
              <w:t xml:space="preserve">Length of arterial road (in m) per </w:t>
            </w:r>
            <w:proofErr w:type="spellStart"/>
            <w:r w:rsidRPr="007C7997">
              <w:rPr>
                <w:rFonts w:ascii="Calibri" w:eastAsia="Times New Roman" w:hAnsi="Calibri" w:cs="Times New Roman"/>
                <w:lang w:eastAsia="en-GB"/>
              </w:rPr>
              <w:t>sq</w:t>
            </w:r>
            <w:proofErr w:type="spellEnd"/>
            <w:r w:rsidRPr="007C7997">
              <w:rPr>
                <w:rFonts w:ascii="Calibri" w:eastAsia="Times New Roman" w:hAnsi="Calibri" w:cs="Times New Roman"/>
                <w:lang w:eastAsia="en-GB"/>
              </w:rPr>
              <w:t xml:space="preserve"> km*</w:t>
            </w:r>
          </w:p>
        </w:tc>
        <w:tc>
          <w:tcPr>
            <w:tcW w:w="1505" w:type="dxa"/>
            <w:noWrap/>
            <w:hideMark/>
          </w:tcPr>
          <w:p w14:paraId="3DC56578"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3,000</w:t>
            </w:r>
          </w:p>
        </w:tc>
        <w:tc>
          <w:tcPr>
            <w:tcW w:w="1435" w:type="dxa"/>
            <w:noWrap/>
            <w:hideMark/>
          </w:tcPr>
          <w:p w14:paraId="58D28695"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6,000</w:t>
            </w:r>
          </w:p>
        </w:tc>
        <w:tc>
          <w:tcPr>
            <w:tcW w:w="1684" w:type="dxa"/>
            <w:noWrap/>
            <w:hideMark/>
          </w:tcPr>
          <w:p w14:paraId="1F81E1BD"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0</w:t>
            </w:r>
          </w:p>
        </w:tc>
        <w:tc>
          <w:tcPr>
            <w:tcW w:w="1684" w:type="dxa"/>
            <w:noWrap/>
            <w:hideMark/>
          </w:tcPr>
          <w:p w14:paraId="54BDE0CE"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0</w:t>
            </w:r>
          </w:p>
        </w:tc>
      </w:tr>
      <w:tr w:rsidR="007C7997" w:rsidRPr="007C7997" w14:paraId="257879D4" w14:textId="77777777" w:rsidTr="007C7997">
        <w:trPr>
          <w:trHeight w:val="300"/>
        </w:trPr>
        <w:tc>
          <w:tcPr>
            <w:cnfStyle w:val="001000000000" w:firstRow="0" w:lastRow="0" w:firstColumn="1" w:lastColumn="0" w:oddVBand="0" w:evenVBand="0" w:oddHBand="0" w:evenHBand="0" w:firstRowFirstColumn="0" w:firstRowLastColumn="0" w:lastRowFirstColumn="0" w:lastRowLastColumn="0"/>
            <w:tcW w:w="3052" w:type="dxa"/>
            <w:noWrap/>
            <w:hideMark/>
          </w:tcPr>
          <w:p w14:paraId="52EC670E" w14:textId="77777777" w:rsidR="007C7997" w:rsidRPr="007C7997" w:rsidRDefault="007C7997" w:rsidP="007C7997">
            <w:pPr>
              <w:jc w:val="left"/>
              <w:rPr>
                <w:rFonts w:ascii="Calibri" w:eastAsia="Times New Roman" w:hAnsi="Calibri" w:cs="Times New Roman"/>
                <w:lang w:eastAsia="en-GB"/>
              </w:rPr>
            </w:pPr>
            <w:r w:rsidRPr="007C7997">
              <w:rPr>
                <w:rFonts w:ascii="Calibri" w:eastAsia="Times New Roman" w:hAnsi="Calibri" w:cs="Times New Roman"/>
                <w:lang w:eastAsia="en-GB"/>
              </w:rPr>
              <w:t xml:space="preserve">Length of other road (in m) per </w:t>
            </w:r>
            <w:proofErr w:type="spellStart"/>
            <w:r w:rsidRPr="007C7997">
              <w:rPr>
                <w:rFonts w:ascii="Calibri" w:eastAsia="Times New Roman" w:hAnsi="Calibri" w:cs="Times New Roman"/>
                <w:lang w:eastAsia="en-GB"/>
              </w:rPr>
              <w:t>sq</w:t>
            </w:r>
            <w:proofErr w:type="spellEnd"/>
            <w:r w:rsidRPr="007C7997">
              <w:rPr>
                <w:rFonts w:ascii="Calibri" w:eastAsia="Times New Roman" w:hAnsi="Calibri" w:cs="Times New Roman"/>
                <w:lang w:eastAsia="en-GB"/>
              </w:rPr>
              <w:t xml:space="preserve"> km</w:t>
            </w:r>
          </w:p>
        </w:tc>
        <w:tc>
          <w:tcPr>
            <w:tcW w:w="1505" w:type="dxa"/>
            <w:noWrap/>
            <w:hideMark/>
          </w:tcPr>
          <w:p w14:paraId="523A7394"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10,000</w:t>
            </w:r>
          </w:p>
        </w:tc>
        <w:tc>
          <w:tcPr>
            <w:tcW w:w="1435" w:type="dxa"/>
            <w:noWrap/>
            <w:hideMark/>
          </w:tcPr>
          <w:p w14:paraId="2770D965"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2,000</w:t>
            </w:r>
          </w:p>
        </w:tc>
        <w:tc>
          <w:tcPr>
            <w:tcW w:w="1684" w:type="dxa"/>
            <w:noWrap/>
            <w:hideMark/>
          </w:tcPr>
          <w:p w14:paraId="2F50CF5C"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2000</w:t>
            </w:r>
          </w:p>
        </w:tc>
        <w:tc>
          <w:tcPr>
            <w:tcW w:w="1684" w:type="dxa"/>
            <w:noWrap/>
            <w:hideMark/>
          </w:tcPr>
          <w:p w14:paraId="4A2FC3D4"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200</w:t>
            </w:r>
          </w:p>
        </w:tc>
      </w:tr>
      <w:tr w:rsidR="007C7997" w:rsidRPr="007C7997" w14:paraId="6E6B42D1" w14:textId="77777777" w:rsidTr="007C79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2" w:type="dxa"/>
            <w:noWrap/>
            <w:hideMark/>
          </w:tcPr>
          <w:p w14:paraId="19E67D61" w14:textId="77777777" w:rsidR="007C7997" w:rsidRPr="007C7997" w:rsidRDefault="007C7997" w:rsidP="007C7997">
            <w:pPr>
              <w:jc w:val="left"/>
              <w:rPr>
                <w:rFonts w:ascii="Calibri" w:eastAsia="Times New Roman" w:hAnsi="Calibri" w:cs="Times New Roman"/>
                <w:lang w:eastAsia="en-GB"/>
              </w:rPr>
            </w:pPr>
            <w:r w:rsidRPr="007C7997">
              <w:rPr>
                <w:rFonts w:ascii="Calibri" w:eastAsia="Times New Roman" w:hAnsi="Calibri" w:cs="Times New Roman"/>
                <w:lang w:eastAsia="en-GB"/>
              </w:rPr>
              <w:t>Cars per km of road (normal)</w:t>
            </w:r>
          </w:p>
        </w:tc>
        <w:tc>
          <w:tcPr>
            <w:tcW w:w="1505" w:type="dxa"/>
            <w:noWrap/>
            <w:hideMark/>
          </w:tcPr>
          <w:p w14:paraId="3A64B107"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50</w:t>
            </w:r>
          </w:p>
        </w:tc>
        <w:tc>
          <w:tcPr>
            <w:tcW w:w="1435" w:type="dxa"/>
            <w:noWrap/>
            <w:hideMark/>
          </w:tcPr>
          <w:p w14:paraId="43E83BA0"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100</w:t>
            </w:r>
          </w:p>
        </w:tc>
        <w:tc>
          <w:tcPr>
            <w:tcW w:w="1684" w:type="dxa"/>
            <w:noWrap/>
            <w:hideMark/>
          </w:tcPr>
          <w:p w14:paraId="3F443A0C"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25</w:t>
            </w:r>
          </w:p>
        </w:tc>
        <w:tc>
          <w:tcPr>
            <w:tcW w:w="1684" w:type="dxa"/>
            <w:noWrap/>
            <w:hideMark/>
          </w:tcPr>
          <w:p w14:paraId="3773BECB"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10</w:t>
            </w:r>
          </w:p>
        </w:tc>
      </w:tr>
      <w:tr w:rsidR="007C7997" w:rsidRPr="007C7997" w14:paraId="34CA4F31" w14:textId="77777777" w:rsidTr="007C7997">
        <w:trPr>
          <w:trHeight w:val="300"/>
        </w:trPr>
        <w:tc>
          <w:tcPr>
            <w:cnfStyle w:val="001000000000" w:firstRow="0" w:lastRow="0" w:firstColumn="1" w:lastColumn="0" w:oddVBand="0" w:evenVBand="0" w:oddHBand="0" w:evenHBand="0" w:firstRowFirstColumn="0" w:firstRowLastColumn="0" w:lastRowFirstColumn="0" w:lastRowLastColumn="0"/>
            <w:tcW w:w="3052" w:type="dxa"/>
            <w:noWrap/>
            <w:hideMark/>
          </w:tcPr>
          <w:p w14:paraId="23EF3A4C" w14:textId="77777777" w:rsidR="007C7997" w:rsidRPr="007C7997" w:rsidRDefault="007C7997" w:rsidP="007C7997">
            <w:pPr>
              <w:jc w:val="left"/>
              <w:rPr>
                <w:rFonts w:ascii="Calibri" w:eastAsia="Times New Roman" w:hAnsi="Calibri" w:cs="Times New Roman"/>
                <w:lang w:eastAsia="en-GB"/>
              </w:rPr>
            </w:pPr>
            <w:r w:rsidRPr="007C7997">
              <w:rPr>
                <w:rFonts w:ascii="Calibri" w:eastAsia="Times New Roman" w:hAnsi="Calibri" w:cs="Times New Roman"/>
                <w:lang w:eastAsia="en-GB"/>
              </w:rPr>
              <w:t>Cars per km of road (busy)</w:t>
            </w:r>
          </w:p>
        </w:tc>
        <w:tc>
          <w:tcPr>
            <w:tcW w:w="1505" w:type="dxa"/>
            <w:noWrap/>
            <w:hideMark/>
          </w:tcPr>
          <w:p w14:paraId="2B9C3E84"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200</w:t>
            </w:r>
          </w:p>
        </w:tc>
        <w:tc>
          <w:tcPr>
            <w:tcW w:w="1435" w:type="dxa"/>
            <w:noWrap/>
            <w:hideMark/>
          </w:tcPr>
          <w:p w14:paraId="24171DAE"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300</w:t>
            </w:r>
          </w:p>
        </w:tc>
        <w:tc>
          <w:tcPr>
            <w:tcW w:w="1684" w:type="dxa"/>
            <w:noWrap/>
            <w:hideMark/>
          </w:tcPr>
          <w:p w14:paraId="25DA59E1"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50</w:t>
            </w:r>
          </w:p>
        </w:tc>
        <w:tc>
          <w:tcPr>
            <w:tcW w:w="1684" w:type="dxa"/>
            <w:noWrap/>
            <w:hideMark/>
          </w:tcPr>
          <w:p w14:paraId="44B6D305"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20</w:t>
            </w:r>
          </w:p>
        </w:tc>
      </w:tr>
      <w:tr w:rsidR="007C7997" w:rsidRPr="007C7997" w14:paraId="651D769D" w14:textId="77777777" w:rsidTr="007C79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2" w:type="dxa"/>
            <w:noWrap/>
            <w:hideMark/>
          </w:tcPr>
          <w:p w14:paraId="504CE59D" w14:textId="77777777" w:rsidR="007C7997" w:rsidRPr="007C7997" w:rsidRDefault="007C7997" w:rsidP="007C7997">
            <w:pPr>
              <w:jc w:val="left"/>
              <w:rPr>
                <w:rFonts w:ascii="Calibri" w:eastAsia="Times New Roman" w:hAnsi="Calibri" w:cs="Times New Roman"/>
                <w:lang w:eastAsia="en-GB"/>
              </w:rPr>
            </w:pPr>
            <w:r w:rsidRPr="007C7997">
              <w:rPr>
                <w:rFonts w:ascii="Calibri" w:eastAsia="Times New Roman" w:hAnsi="Calibri" w:cs="Times New Roman"/>
                <w:lang w:eastAsia="en-GB"/>
              </w:rPr>
              <w:t>Handsets per person</w:t>
            </w:r>
          </w:p>
        </w:tc>
        <w:tc>
          <w:tcPr>
            <w:tcW w:w="1505" w:type="dxa"/>
            <w:noWrap/>
            <w:hideMark/>
          </w:tcPr>
          <w:p w14:paraId="31119792"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1.2</w:t>
            </w:r>
          </w:p>
        </w:tc>
        <w:tc>
          <w:tcPr>
            <w:tcW w:w="1435" w:type="dxa"/>
            <w:noWrap/>
            <w:hideMark/>
          </w:tcPr>
          <w:p w14:paraId="0AF08639"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1.2</w:t>
            </w:r>
          </w:p>
        </w:tc>
        <w:tc>
          <w:tcPr>
            <w:tcW w:w="1684" w:type="dxa"/>
            <w:noWrap/>
            <w:hideMark/>
          </w:tcPr>
          <w:p w14:paraId="4859E570"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1.2</w:t>
            </w:r>
          </w:p>
        </w:tc>
        <w:tc>
          <w:tcPr>
            <w:tcW w:w="1684" w:type="dxa"/>
            <w:noWrap/>
            <w:hideMark/>
          </w:tcPr>
          <w:p w14:paraId="3BC3E463"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1.2</w:t>
            </w:r>
          </w:p>
        </w:tc>
      </w:tr>
      <w:tr w:rsidR="007C7997" w:rsidRPr="007C7997" w14:paraId="0A8E2C2F" w14:textId="77777777" w:rsidTr="007C7997">
        <w:trPr>
          <w:trHeight w:val="300"/>
        </w:trPr>
        <w:tc>
          <w:tcPr>
            <w:cnfStyle w:val="001000000000" w:firstRow="0" w:lastRow="0" w:firstColumn="1" w:lastColumn="0" w:oddVBand="0" w:evenVBand="0" w:oddHBand="0" w:evenHBand="0" w:firstRowFirstColumn="0" w:firstRowLastColumn="0" w:lastRowFirstColumn="0" w:lastRowLastColumn="0"/>
            <w:tcW w:w="3052" w:type="dxa"/>
            <w:noWrap/>
            <w:hideMark/>
          </w:tcPr>
          <w:p w14:paraId="365C5E45" w14:textId="77777777" w:rsidR="007C7997" w:rsidRPr="007C7997" w:rsidRDefault="007C7997" w:rsidP="007C7997">
            <w:pPr>
              <w:jc w:val="left"/>
              <w:rPr>
                <w:rFonts w:ascii="Calibri" w:eastAsia="Times New Roman" w:hAnsi="Calibri" w:cs="Times New Roman"/>
                <w:lang w:eastAsia="en-GB"/>
              </w:rPr>
            </w:pPr>
            <w:r w:rsidRPr="007C7997">
              <w:rPr>
                <w:rFonts w:ascii="Calibri" w:eastAsia="Times New Roman" w:hAnsi="Calibri" w:cs="Times New Roman"/>
                <w:lang w:eastAsia="en-GB"/>
              </w:rPr>
              <w:t>MBB devices per person</w:t>
            </w:r>
          </w:p>
        </w:tc>
        <w:tc>
          <w:tcPr>
            <w:tcW w:w="1505" w:type="dxa"/>
            <w:noWrap/>
            <w:hideMark/>
          </w:tcPr>
          <w:p w14:paraId="109952DD"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0.11</w:t>
            </w:r>
          </w:p>
        </w:tc>
        <w:tc>
          <w:tcPr>
            <w:tcW w:w="1435" w:type="dxa"/>
            <w:noWrap/>
            <w:hideMark/>
          </w:tcPr>
          <w:p w14:paraId="650C9AEF"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0.11</w:t>
            </w:r>
          </w:p>
        </w:tc>
        <w:tc>
          <w:tcPr>
            <w:tcW w:w="1684" w:type="dxa"/>
            <w:noWrap/>
            <w:hideMark/>
          </w:tcPr>
          <w:p w14:paraId="2FA0BAF0"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0.11</w:t>
            </w:r>
          </w:p>
        </w:tc>
        <w:tc>
          <w:tcPr>
            <w:tcW w:w="1684" w:type="dxa"/>
            <w:noWrap/>
            <w:hideMark/>
          </w:tcPr>
          <w:p w14:paraId="4430432F"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0.11</w:t>
            </w:r>
          </w:p>
        </w:tc>
      </w:tr>
      <w:tr w:rsidR="007C7997" w:rsidRPr="007C7997" w14:paraId="427E3598" w14:textId="77777777" w:rsidTr="007C79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2" w:type="dxa"/>
            <w:noWrap/>
            <w:hideMark/>
          </w:tcPr>
          <w:p w14:paraId="0B41ACD7" w14:textId="77777777" w:rsidR="007C7997" w:rsidRPr="007C7997" w:rsidRDefault="007C7997" w:rsidP="007C7997">
            <w:pPr>
              <w:jc w:val="left"/>
              <w:rPr>
                <w:rFonts w:ascii="Calibri" w:eastAsia="Times New Roman" w:hAnsi="Calibri" w:cs="Times New Roman"/>
                <w:lang w:eastAsia="en-GB"/>
              </w:rPr>
            </w:pPr>
            <w:r>
              <w:rPr>
                <w:rFonts w:ascii="Calibri" w:eastAsia="Times New Roman" w:hAnsi="Calibri" w:cs="Times New Roman"/>
                <w:lang w:eastAsia="en-GB"/>
              </w:rPr>
              <w:t>Car connect</w:t>
            </w:r>
            <w:r w:rsidRPr="007C7997">
              <w:rPr>
                <w:rFonts w:ascii="Calibri" w:eastAsia="Times New Roman" w:hAnsi="Calibri" w:cs="Times New Roman"/>
                <w:lang w:eastAsia="en-GB"/>
              </w:rPr>
              <w:t>ions per car</w:t>
            </w:r>
            <w:r>
              <w:rPr>
                <w:rStyle w:val="FootnoteReference"/>
                <w:rFonts w:ascii="Calibri" w:eastAsia="Times New Roman" w:hAnsi="Calibri" w:cs="Times New Roman"/>
                <w:lang w:eastAsia="en-GB"/>
              </w:rPr>
              <w:footnoteReference w:id="4"/>
            </w:r>
          </w:p>
        </w:tc>
        <w:tc>
          <w:tcPr>
            <w:tcW w:w="1505" w:type="dxa"/>
            <w:noWrap/>
            <w:hideMark/>
          </w:tcPr>
          <w:p w14:paraId="71907C8F"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0.1</w:t>
            </w:r>
          </w:p>
        </w:tc>
        <w:tc>
          <w:tcPr>
            <w:tcW w:w="1435" w:type="dxa"/>
            <w:noWrap/>
            <w:hideMark/>
          </w:tcPr>
          <w:p w14:paraId="4F076C97"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0.1</w:t>
            </w:r>
          </w:p>
        </w:tc>
        <w:tc>
          <w:tcPr>
            <w:tcW w:w="1684" w:type="dxa"/>
            <w:noWrap/>
            <w:hideMark/>
          </w:tcPr>
          <w:p w14:paraId="6ADDB365"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0.1</w:t>
            </w:r>
          </w:p>
        </w:tc>
        <w:tc>
          <w:tcPr>
            <w:tcW w:w="1684" w:type="dxa"/>
            <w:noWrap/>
            <w:hideMark/>
          </w:tcPr>
          <w:p w14:paraId="56382206"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0.1</w:t>
            </w:r>
          </w:p>
        </w:tc>
      </w:tr>
      <w:tr w:rsidR="007C7997" w:rsidRPr="007C7997" w14:paraId="11012BC8" w14:textId="77777777" w:rsidTr="007C7997">
        <w:trPr>
          <w:trHeight w:val="300"/>
        </w:trPr>
        <w:tc>
          <w:tcPr>
            <w:cnfStyle w:val="001000000000" w:firstRow="0" w:lastRow="0" w:firstColumn="1" w:lastColumn="0" w:oddVBand="0" w:evenVBand="0" w:oddHBand="0" w:evenHBand="0" w:firstRowFirstColumn="0" w:firstRowLastColumn="0" w:lastRowFirstColumn="0" w:lastRowLastColumn="0"/>
            <w:tcW w:w="3052" w:type="dxa"/>
            <w:noWrap/>
            <w:hideMark/>
          </w:tcPr>
          <w:p w14:paraId="7EDAD3E5" w14:textId="77777777" w:rsidR="007C7997" w:rsidRPr="007C7997" w:rsidRDefault="007C7997" w:rsidP="007C7997">
            <w:pPr>
              <w:jc w:val="left"/>
              <w:rPr>
                <w:rFonts w:ascii="Calibri" w:eastAsia="Times New Roman" w:hAnsi="Calibri" w:cs="Times New Roman"/>
                <w:lang w:eastAsia="en-GB"/>
              </w:rPr>
            </w:pPr>
            <w:r>
              <w:rPr>
                <w:rFonts w:ascii="Calibri" w:eastAsia="Times New Roman" w:hAnsi="Calibri" w:cs="Times New Roman"/>
                <w:lang w:eastAsia="en-GB"/>
              </w:rPr>
              <w:t>M2M connect</w:t>
            </w:r>
            <w:r w:rsidRPr="007C7997">
              <w:rPr>
                <w:rFonts w:ascii="Calibri" w:eastAsia="Times New Roman" w:hAnsi="Calibri" w:cs="Times New Roman"/>
                <w:lang w:eastAsia="en-GB"/>
              </w:rPr>
              <w:t>ions per cell</w:t>
            </w:r>
          </w:p>
        </w:tc>
        <w:tc>
          <w:tcPr>
            <w:tcW w:w="1505" w:type="dxa"/>
            <w:noWrap/>
            <w:hideMark/>
          </w:tcPr>
          <w:p w14:paraId="2BFFE391"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80</w:t>
            </w:r>
          </w:p>
        </w:tc>
        <w:tc>
          <w:tcPr>
            <w:tcW w:w="1435" w:type="dxa"/>
            <w:noWrap/>
            <w:hideMark/>
          </w:tcPr>
          <w:p w14:paraId="12C9F065"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80</w:t>
            </w:r>
          </w:p>
        </w:tc>
        <w:tc>
          <w:tcPr>
            <w:tcW w:w="1684" w:type="dxa"/>
            <w:noWrap/>
            <w:hideMark/>
          </w:tcPr>
          <w:p w14:paraId="68180770"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80</w:t>
            </w:r>
          </w:p>
        </w:tc>
        <w:tc>
          <w:tcPr>
            <w:tcW w:w="1684" w:type="dxa"/>
            <w:noWrap/>
            <w:hideMark/>
          </w:tcPr>
          <w:p w14:paraId="7CE24F17"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80</w:t>
            </w:r>
          </w:p>
        </w:tc>
      </w:tr>
      <w:tr w:rsidR="007C7997" w:rsidRPr="007C7997" w14:paraId="39DE5640" w14:textId="77777777" w:rsidTr="007C79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2" w:type="dxa"/>
            <w:noWrap/>
            <w:hideMark/>
          </w:tcPr>
          <w:p w14:paraId="74F94609" w14:textId="77777777" w:rsidR="007C7997" w:rsidRPr="007C7997" w:rsidRDefault="007C7997" w:rsidP="007C7997">
            <w:pPr>
              <w:jc w:val="left"/>
              <w:rPr>
                <w:rFonts w:ascii="Calibri" w:eastAsia="Times New Roman" w:hAnsi="Calibri" w:cs="Times New Roman"/>
                <w:lang w:eastAsia="en-GB"/>
              </w:rPr>
            </w:pPr>
            <w:r w:rsidRPr="007C7997">
              <w:rPr>
                <w:rFonts w:ascii="Calibri" w:eastAsia="Times New Roman" w:hAnsi="Calibri" w:cs="Times New Roman"/>
                <w:lang w:eastAsia="en-GB"/>
              </w:rPr>
              <w:t>People per car</w:t>
            </w:r>
          </w:p>
        </w:tc>
        <w:tc>
          <w:tcPr>
            <w:tcW w:w="1505" w:type="dxa"/>
            <w:noWrap/>
            <w:hideMark/>
          </w:tcPr>
          <w:p w14:paraId="1A00B1D2"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1.5</w:t>
            </w:r>
          </w:p>
        </w:tc>
        <w:tc>
          <w:tcPr>
            <w:tcW w:w="1435" w:type="dxa"/>
            <w:noWrap/>
            <w:hideMark/>
          </w:tcPr>
          <w:p w14:paraId="27B28428"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1.5</w:t>
            </w:r>
          </w:p>
        </w:tc>
        <w:tc>
          <w:tcPr>
            <w:tcW w:w="1684" w:type="dxa"/>
            <w:noWrap/>
            <w:hideMark/>
          </w:tcPr>
          <w:p w14:paraId="0684B539"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1.5</w:t>
            </w:r>
          </w:p>
        </w:tc>
        <w:tc>
          <w:tcPr>
            <w:tcW w:w="1684" w:type="dxa"/>
            <w:noWrap/>
            <w:hideMark/>
          </w:tcPr>
          <w:p w14:paraId="2C28F226" w14:textId="77777777" w:rsidR="007C7997" w:rsidRPr="007C7997" w:rsidRDefault="007C7997" w:rsidP="007C79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1.5</w:t>
            </w:r>
          </w:p>
        </w:tc>
      </w:tr>
      <w:tr w:rsidR="007C7997" w:rsidRPr="007C7997" w14:paraId="39E514A4" w14:textId="77777777" w:rsidTr="007C7997">
        <w:trPr>
          <w:trHeight w:val="300"/>
        </w:trPr>
        <w:tc>
          <w:tcPr>
            <w:cnfStyle w:val="001000000000" w:firstRow="0" w:lastRow="0" w:firstColumn="1" w:lastColumn="0" w:oddVBand="0" w:evenVBand="0" w:oddHBand="0" w:evenHBand="0" w:firstRowFirstColumn="0" w:firstRowLastColumn="0" w:lastRowFirstColumn="0" w:lastRowLastColumn="0"/>
            <w:tcW w:w="3052" w:type="dxa"/>
            <w:noWrap/>
            <w:hideMark/>
          </w:tcPr>
          <w:p w14:paraId="219FA2CE" w14:textId="77777777" w:rsidR="007C7997" w:rsidRPr="007C7997" w:rsidRDefault="007C7997" w:rsidP="007C7997">
            <w:pPr>
              <w:jc w:val="left"/>
              <w:rPr>
                <w:rFonts w:ascii="Calibri" w:eastAsia="Times New Roman" w:hAnsi="Calibri" w:cs="Times New Roman"/>
                <w:lang w:eastAsia="en-GB"/>
              </w:rPr>
            </w:pPr>
            <w:r w:rsidRPr="007C7997">
              <w:rPr>
                <w:rFonts w:ascii="Calibri" w:eastAsia="Times New Roman" w:hAnsi="Calibri" w:cs="Times New Roman"/>
                <w:lang w:eastAsia="en-GB"/>
              </w:rPr>
              <w:t>People living in the cell</w:t>
            </w:r>
          </w:p>
        </w:tc>
        <w:tc>
          <w:tcPr>
            <w:tcW w:w="1505" w:type="dxa"/>
            <w:noWrap/>
            <w:hideMark/>
          </w:tcPr>
          <w:p w14:paraId="04356C3E"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1000</w:t>
            </w:r>
          </w:p>
        </w:tc>
        <w:tc>
          <w:tcPr>
            <w:tcW w:w="1435" w:type="dxa"/>
            <w:noWrap/>
            <w:hideMark/>
          </w:tcPr>
          <w:p w14:paraId="10862ADE"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500</w:t>
            </w:r>
          </w:p>
        </w:tc>
        <w:tc>
          <w:tcPr>
            <w:tcW w:w="1684" w:type="dxa"/>
            <w:noWrap/>
            <w:hideMark/>
          </w:tcPr>
          <w:p w14:paraId="06273DCD"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500</w:t>
            </w:r>
          </w:p>
        </w:tc>
        <w:tc>
          <w:tcPr>
            <w:tcW w:w="1684" w:type="dxa"/>
            <w:noWrap/>
            <w:hideMark/>
          </w:tcPr>
          <w:p w14:paraId="2A7A88F6" w14:textId="77777777" w:rsidR="007C7997" w:rsidRPr="007C7997" w:rsidRDefault="007C7997" w:rsidP="007C799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7C7997">
              <w:rPr>
                <w:rFonts w:ascii="Calibri" w:eastAsia="Times New Roman" w:hAnsi="Calibri" w:cs="Times New Roman"/>
                <w:color w:val="000000"/>
                <w:lang w:eastAsia="en-GB"/>
              </w:rPr>
              <w:t>250</w:t>
            </w:r>
          </w:p>
        </w:tc>
      </w:tr>
    </w:tbl>
    <w:p w14:paraId="2455B82A" w14:textId="77777777" w:rsidR="00CA5C72" w:rsidRDefault="00CA5C72" w:rsidP="00CA5C72">
      <w:pPr>
        <w:jc w:val="left"/>
      </w:pPr>
    </w:p>
    <w:p w14:paraId="0786DBE8" w14:textId="77777777" w:rsidR="007C7997" w:rsidRDefault="007C7997" w:rsidP="008745C8">
      <w:r>
        <w:t>All of this modelling, and these assumptions, relate to a typical developed market in North America, Europe or Asia-Pacific. The dynamics will be slightly different for emerging markets.</w:t>
      </w:r>
    </w:p>
    <w:p w14:paraId="5BAF130B" w14:textId="77777777" w:rsidR="009F5F6F" w:rsidRPr="00CA5C72" w:rsidRDefault="009F5F6F" w:rsidP="008745C8">
      <w:r>
        <w:t>For non-auto ‘Other M2M’ we assume, for the purposes of this model, an even distribution of the connections across all cells, so starting from ~80 M2M connections per cell in 2014, growing to over 700 in 2024</w:t>
      </w:r>
    </w:p>
    <w:bookmarkEnd w:id="6"/>
    <w:bookmarkEnd w:id="7"/>
    <w:bookmarkEnd w:id="8"/>
    <w:p w14:paraId="667A7CF0" w14:textId="77777777" w:rsidR="009F5F6F" w:rsidRDefault="009F5F6F" w:rsidP="008745C8">
      <w:pPr>
        <w:rPr>
          <w:lang w:val="en-US"/>
        </w:rPr>
      </w:pPr>
      <w:r>
        <w:rPr>
          <w:lang w:val="en-US"/>
        </w:rPr>
        <w:t>It should be noted that for the purposes of this modelling, we are considering a market leading mobile operator with 1/3 market share in traditional devices (i.e. handsets, tablets and mobile broadband), 75% share of connected car, and 50% of other M2M.</w:t>
      </w:r>
    </w:p>
    <w:p w14:paraId="0417EB44" w14:textId="77777777" w:rsidR="009F5F6F" w:rsidRDefault="009F5F6F" w:rsidP="008745C8">
      <w:pPr>
        <w:rPr>
          <w:lang w:val="en-US"/>
        </w:rPr>
      </w:pPr>
      <w:r>
        <w:rPr>
          <w:lang w:val="en-US"/>
        </w:rPr>
        <w:t>In this analysis we are interested only in the busy hour, i.e. 5</w:t>
      </w:r>
      <w:r w:rsidR="008745C8">
        <w:rPr>
          <w:lang w:val="en-US"/>
        </w:rPr>
        <w:t>pm</w:t>
      </w:r>
      <w:r>
        <w:rPr>
          <w:lang w:val="en-US"/>
        </w:rPr>
        <w:t xml:space="preserve">-6pm, and the traffic generated therein. We assume 6.25% of traffic from traditional devices is generated </w:t>
      </w:r>
      <w:r w:rsidR="008745C8">
        <w:rPr>
          <w:lang w:val="en-US"/>
        </w:rPr>
        <w:t>during that period</w:t>
      </w:r>
      <w:r>
        <w:rPr>
          <w:lang w:val="en-US"/>
        </w:rPr>
        <w:t>. For automotive we assume the equivalent figure is 12.5%. For M2M we assume a completely even distribution across the 24 hour period, either because of even reporting periods, or because of deliberate time-shifting to off-peak periods.</w:t>
      </w:r>
    </w:p>
    <w:p w14:paraId="24A94EA5" w14:textId="77777777" w:rsidR="00456FD9" w:rsidRDefault="00456FD9" w:rsidP="008745C8">
      <w:pPr>
        <w:rPr>
          <w:lang w:val="en-US"/>
        </w:rPr>
      </w:pPr>
      <w:r>
        <w:rPr>
          <w:lang w:val="en-US"/>
        </w:rPr>
        <w:lastRenderedPageBreak/>
        <w:t>The purpose of this modelling is to identify not just the typical dynamics, as identified above, but the delta between that and peak usage cause by two things:</w:t>
      </w:r>
    </w:p>
    <w:p w14:paraId="0E3AD999" w14:textId="21DE7564" w:rsidR="00456FD9" w:rsidRPr="008745C8" w:rsidRDefault="00456FD9" w:rsidP="008745C8">
      <w:pPr>
        <w:pStyle w:val="ListParagraph"/>
        <w:numPr>
          <w:ilvl w:val="0"/>
          <w:numId w:val="38"/>
        </w:numPr>
        <w:rPr>
          <w:lang w:val="en-US"/>
        </w:rPr>
      </w:pPr>
      <w:r w:rsidRPr="008745C8">
        <w:rPr>
          <w:b/>
          <w:lang w:val="en-US"/>
        </w:rPr>
        <w:t>More devices in the cell.</w:t>
      </w:r>
      <w:r w:rsidRPr="008745C8">
        <w:rPr>
          <w:lang w:val="en-US"/>
        </w:rPr>
        <w:t xml:space="preserve"> Clearly during the traffic jam scenario, there will be greater numbers of devices in the cell. Phones and tablets could increase by 20%, while numbers of connected cars could be up as much as 3-fold, as illustrated in </w:t>
      </w:r>
      <w:r w:rsidRPr="006D261B">
        <w:fldChar w:fldCharType="begin"/>
      </w:r>
      <w:r w:rsidRPr="006D261B">
        <w:instrText xml:space="preserve"> REF _Ref416851119 \h </w:instrText>
      </w:r>
      <w:r w:rsidR="00EB6257">
        <w:instrText xml:space="preserve"> \* MERGEFORMAT </w:instrText>
      </w:r>
      <w:r w:rsidRPr="006D261B">
        <w:fldChar w:fldCharType="separate"/>
      </w:r>
      <w:r w:rsidR="00E5036C" w:rsidRPr="00E5036C">
        <w:t>Figure 5</w:t>
      </w:r>
      <w:r w:rsidR="00E5036C" w:rsidRPr="00E5036C">
        <w:noBreakHyphen/>
        <w:t>2</w:t>
      </w:r>
      <w:r w:rsidRPr="006D261B">
        <w:fldChar w:fldCharType="end"/>
      </w:r>
      <w:r w:rsidRPr="006D261B">
        <w:t>,</w:t>
      </w:r>
      <w:r w:rsidRPr="008745C8">
        <w:rPr>
          <w:lang w:val="en-US"/>
        </w:rPr>
        <w:t xml:space="preserve"> below.</w:t>
      </w:r>
    </w:p>
    <w:p w14:paraId="02BA8B44" w14:textId="77777777" w:rsidR="00456FD9" w:rsidRPr="008745C8" w:rsidRDefault="00456FD9" w:rsidP="008745C8">
      <w:pPr>
        <w:pStyle w:val="ListParagraph"/>
        <w:numPr>
          <w:ilvl w:val="0"/>
          <w:numId w:val="38"/>
        </w:numPr>
        <w:rPr>
          <w:lang w:val="en-US"/>
        </w:rPr>
      </w:pPr>
      <w:r w:rsidRPr="008745C8">
        <w:rPr>
          <w:b/>
          <w:lang w:val="en-US"/>
        </w:rPr>
        <w:t>More traffic per device.</w:t>
      </w:r>
      <w:r w:rsidRPr="008745C8">
        <w:rPr>
          <w:lang w:val="en-US"/>
        </w:rPr>
        <w:t xml:space="preserve"> W</w:t>
      </w:r>
      <w:r w:rsidR="009F5F6F" w:rsidRPr="008745C8">
        <w:rPr>
          <w:lang w:val="en-US"/>
        </w:rPr>
        <w:t xml:space="preserve">e also assume that individual devices will be generating proportionately more traffic than in periods of lighter road use. This will be due to </w:t>
      </w:r>
      <w:r w:rsidRPr="008745C8">
        <w:rPr>
          <w:lang w:val="en-US"/>
        </w:rPr>
        <w:t xml:space="preserve">factors such as </w:t>
      </w:r>
      <w:r w:rsidR="009F5F6F" w:rsidRPr="008745C8">
        <w:rPr>
          <w:lang w:val="en-US"/>
        </w:rPr>
        <w:t xml:space="preserve">greater user demand for entertainment, more </w:t>
      </w:r>
      <w:r w:rsidRPr="008745C8">
        <w:rPr>
          <w:lang w:val="en-US"/>
        </w:rPr>
        <w:t xml:space="preserve">need for communication, and </w:t>
      </w:r>
      <w:r w:rsidR="009F5F6F" w:rsidRPr="008745C8">
        <w:rPr>
          <w:lang w:val="en-US"/>
        </w:rPr>
        <w:t>searching for navigation options.</w:t>
      </w:r>
    </w:p>
    <w:p w14:paraId="497D6A86" w14:textId="77777777" w:rsidR="00456FD9" w:rsidRPr="00456FD9" w:rsidRDefault="00456FD9" w:rsidP="00456FD9">
      <w:pPr>
        <w:pStyle w:val="Caption"/>
        <w:keepNext/>
        <w:rPr>
          <w:rStyle w:val="IntenseEmphasis"/>
          <w:b/>
        </w:rPr>
      </w:pPr>
      <w:bookmarkStart w:id="10" w:name="_Ref416851119"/>
      <w:r w:rsidRPr="00456FD9">
        <w:rPr>
          <w:rStyle w:val="IntenseEmphasis"/>
          <w:b/>
        </w:rPr>
        <w:t xml:space="preserve">Figure </w:t>
      </w:r>
      <w:r>
        <w:rPr>
          <w:rStyle w:val="IntenseEmphasis"/>
          <w:b/>
        </w:rPr>
        <w:fldChar w:fldCharType="begin"/>
      </w:r>
      <w:r>
        <w:rPr>
          <w:rStyle w:val="IntenseEmphasis"/>
          <w:b/>
        </w:rPr>
        <w:instrText xml:space="preserve"> STYLEREF 1 \s </w:instrText>
      </w:r>
      <w:r>
        <w:rPr>
          <w:rStyle w:val="IntenseEmphasis"/>
          <w:b/>
        </w:rPr>
        <w:fldChar w:fldCharType="separate"/>
      </w:r>
      <w:r w:rsidR="00E5036C">
        <w:rPr>
          <w:rStyle w:val="IntenseEmphasis"/>
          <w:b/>
          <w:noProof/>
        </w:rPr>
        <w:t>5</w:t>
      </w:r>
      <w:r>
        <w:rPr>
          <w:rStyle w:val="IntenseEmphasis"/>
          <w:b/>
        </w:rPr>
        <w:fldChar w:fldCharType="end"/>
      </w:r>
      <w:r>
        <w:rPr>
          <w:rStyle w:val="IntenseEmphasis"/>
          <w:b/>
        </w:rPr>
        <w:noBreakHyphen/>
      </w:r>
      <w:r>
        <w:rPr>
          <w:rStyle w:val="IntenseEmphasis"/>
          <w:b/>
        </w:rPr>
        <w:fldChar w:fldCharType="begin"/>
      </w:r>
      <w:r>
        <w:rPr>
          <w:rStyle w:val="IntenseEmphasis"/>
          <w:b/>
        </w:rPr>
        <w:instrText xml:space="preserve"> SEQ Figure \* ARABIC \s 1 </w:instrText>
      </w:r>
      <w:r>
        <w:rPr>
          <w:rStyle w:val="IntenseEmphasis"/>
          <w:b/>
        </w:rPr>
        <w:fldChar w:fldCharType="separate"/>
      </w:r>
      <w:r w:rsidR="00E5036C">
        <w:rPr>
          <w:rStyle w:val="IntenseEmphasis"/>
          <w:b/>
          <w:noProof/>
        </w:rPr>
        <w:t>2</w:t>
      </w:r>
      <w:r>
        <w:rPr>
          <w:rStyle w:val="IntenseEmphasis"/>
          <w:b/>
        </w:rPr>
        <w:fldChar w:fldCharType="end"/>
      </w:r>
      <w:bookmarkEnd w:id="10"/>
      <w:r w:rsidRPr="00456FD9">
        <w:rPr>
          <w:rStyle w:val="IntenseEmphasis"/>
          <w:b/>
        </w:rPr>
        <w:t>: Cars per KM of road, busy vs normal, by cell type [Source: Machina Research, 2015]</w:t>
      </w:r>
    </w:p>
    <w:tbl>
      <w:tblPr>
        <w:tblStyle w:val="GridTable5Dark-Accent11"/>
        <w:tblW w:w="9360" w:type="dxa"/>
        <w:tblLook w:val="04A0" w:firstRow="1" w:lastRow="0" w:firstColumn="1" w:lastColumn="0" w:noHBand="0" w:noVBand="1"/>
      </w:tblPr>
      <w:tblGrid>
        <w:gridCol w:w="2403"/>
        <w:gridCol w:w="1660"/>
        <w:gridCol w:w="1583"/>
        <w:gridCol w:w="1857"/>
        <w:gridCol w:w="1857"/>
      </w:tblGrid>
      <w:tr w:rsidR="00456FD9" w:rsidRPr="00456FD9" w14:paraId="7FF98D8F" w14:textId="77777777" w:rsidTr="00456FD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3" w:type="dxa"/>
            <w:noWrap/>
            <w:hideMark/>
          </w:tcPr>
          <w:p w14:paraId="6B6C60B5" w14:textId="77777777" w:rsidR="00456FD9" w:rsidRPr="00456FD9" w:rsidRDefault="00456FD9" w:rsidP="00456FD9">
            <w:pPr>
              <w:jc w:val="left"/>
              <w:rPr>
                <w:rFonts w:ascii="Times New Roman" w:eastAsia="Times New Roman" w:hAnsi="Times New Roman" w:cs="Times New Roman"/>
                <w:sz w:val="24"/>
                <w:szCs w:val="24"/>
                <w:lang w:eastAsia="en-GB"/>
              </w:rPr>
            </w:pPr>
          </w:p>
        </w:tc>
        <w:tc>
          <w:tcPr>
            <w:tcW w:w="1660" w:type="dxa"/>
            <w:noWrap/>
            <w:hideMark/>
          </w:tcPr>
          <w:p w14:paraId="37C70248" w14:textId="77777777" w:rsidR="00456FD9" w:rsidRPr="00456FD9" w:rsidRDefault="00456FD9" w:rsidP="00456F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456FD9">
              <w:rPr>
                <w:rFonts w:ascii="Calibri" w:eastAsia="Times New Roman" w:hAnsi="Calibri" w:cs="Times New Roman"/>
                <w:lang w:eastAsia="en-GB"/>
              </w:rPr>
              <w:t>Cell A</w:t>
            </w:r>
          </w:p>
        </w:tc>
        <w:tc>
          <w:tcPr>
            <w:tcW w:w="1583" w:type="dxa"/>
            <w:noWrap/>
            <w:hideMark/>
          </w:tcPr>
          <w:p w14:paraId="68AF47D0" w14:textId="77777777" w:rsidR="00456FD9" w:rsidRPr="00456FD9" w:rsidRDefault="00456FD9" w:rsidP="00456F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456FD9">
              <w:rPr>
                <w:rFonts w:ascii="Calibri" w:eastAsia="Times New Roman" w:hAnsi="Calibri" w:cs="Times New Roman"/>
                <w:lang w:eastAsia="en-GB"/>
              </w:rPr>
              <w:t>Cell B</w:t>
            </w:r>
          </w:p>
        </w:tc>
        <w:tc>
          <w:tcPr>
            <w:tcW w:w="1857" w:type="dxa"/>
            <w:noWrap/>
            <w:hideMark/>
          </w:tcPr>
          <w:p w14:paraId="2762F797" w14:textId="77777777" w:rsidR="00456FD9" w:rsidRPr="00456FD9" w:rsidRDefault="00456FD9" w:rsidP="00456F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456FD9">
              <w:rPr>
                <w:rFonts w:ascii="Calibri" w:eastAsia="Times New Roman" w:hAnsi="Calibri" w:cs="Times New Roman"/>
                <w:lang w:eastAsia="en-GB"/>
              </w:rPr>
              <w:t>Cell C</w:t>
            </w:r>
          </w:p>
        </w:tc>
        <w:tc>
          <w:tcPr>
            <w:tcW w:w="1857" w:type="dxa"/>
            <w:noWrap/>
            <w:hideMark/>
          </w:tcPr>
          <w:p w14:paraId="1AC12D74" w14:textId="77777777" w:rsidR="00456FD9" w:rsidRPr="00456FD9" w:rsidRDefault="00456FD9" w:rsidP="00456F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456FD9">
              <w:rPr>
                <w:rFonts w:ascii="Calibri" w:eastAsia="Times New Roman" w:hAnsi="Calibri" w:cs="Times New Roman"/>
                <w:lang w:eastAsia="en-GB"/>
              </w:rPr>
              <w:t>Cell D</w:t>
            </w:r>
          </w:p>
        </w:tc>
      </w:tr>
      <w:tr w:rsidR="00456FD9" w:rsidRPr="00456FD9" w14:paraId="28CCE09E" w14:textId="77777777" w:rsidTr="00456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3" w:type="dxa"/>
            <w:noWrap/>
            <w:hideMark/>
          </w:tcPr>
          <w:p w14:paraId="23B89FA9" w14:textId="77777777" w:rsidR="00456FD9" w:rsidRPr="00456FD9" w:rsidRDefault="00456FD9" w:rsidP="00456FD9">
            <w:pPr>
              <w:jc w:val="left"/>
              <w:rPr>
                <w:rFonts w:ascii="Calibri" w:eastAsia="Times New Roman" w:hAnsi="Calibri" w:cs="Times New Roman"/>
                <w:lang w:eastAsia="en-GB"/>
              </w:rPr>
            </w:pPr>
            <w:r w:rsidRPr="00456FD9">
              <w:rPr>
                <w:rFonts w:ascii="Calibri" w:eastAsia="Times New Roman" w:hAnsi="Calibri" w:cs="Times New Roman"/>
                <w:lang w:eastAsia="en-GB"/>
              </w:rPr>
              <w:t>Location</w:t>
            </w:r>
          </w:p>
        </w:tc>
        <w:tc>
          <w:tcPr>
            <w:tcW w:w="1660" w:type="dxa"/>
            <w:noWrap/>
            <w:hideMark/>
          </w:tcPr>
          <w:p w14:paraId="7CD1E1D8" w14:textId="77777777" w:rsidR="00456FD9" w:rsidRPr="00456FD9" w:rsidRDefault="00456FD9" w:rsidP="00456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456FD9">
              <w:rPr>
                <w:rFonts w:ascii="Calibri" w:eastAsia="Times New Roman" w:hAnsi="Calibri" w:cs="Times New Roman"/>
                <w:lang w:eastAsia="en-GB"/>
              </w:rPr>
              <w:t>Urban</w:t>
            </w:r>
          </w:p>
        </w:tc>
        <w:tc>
          <w:tcPr>
            <w:tcW w:w="1583" w:type="dxa"/>
            <w:noWrap/>
            <w:hideMark/>
          </w:tcPr>
          <w:p w14:paraId="1AD2184D" w14:textId="77777777" w:rsidR="00456FD9" w:rsidRPr="00456FD9" w:rsidRDefault="00456FD9" w:rsidP="00456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456FD9">
              <w:rPr>
                <w:rFonts w:ascii="Calibri" w:eastAsia="Times New Roman" w:hAnsi="Calibri" w:cs="Times New Roman"/>
                <w:lang w:eastAsia="en-GB"/>
              </w:rPr>
              <w:t>Sub-urban</w:t>
            </w:r>
          </w:p>
        </w:tc>
        <w:tc>
          <w:tcPr>
            <w:tcW w:w="1857" w:type="dxa"/>
            <w:noWrap/>
            <w:hideMark/>
          </w:tcPr>
          <w:p w14:paraId="08FB0D21" w14:textId="77777777" w:rsidR="00456FD9" w:rsidRPr="00456FD9" w:rsidRDefault="00456FD9" w:rsidP="00456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456FD9">
              <w:rPr>
                <w:rFonts w:ascii="Calibri" w:eastAsia="Times New Roman" w:hAnsi="Calibri" w:cs="Times New Roman"/>
                <w:lang w:eastAsia="en-GB"/>
              </w:rPr>
              <w:t>Sub-urban</w:t>
            </w:r>
          </w:p>
        </w:tc>
        <w:tc>
          <w:tcPr>
            <w:tcW w:w="1857" w:type="dxa"/>
            <w:noWrap/>
            <w:hideMark/>
          </w:tcPr>
          <w:p w14:paraId="22336596" w14:textId="77777777" w:rsidR="00456FD9" w:rsidRPr="00456FD9" w:rsidRDefault="00456FD9" w:rsidP="00456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456FD9">
              <w:rPr>
                <w:rFonts w:ascii="Calibri" w:eastAsia="Times New Roman" w:hAnsi="Calibri" w:cs="Times New Roman"/>
                <w:lang w:eastAsia="en-GB"/>
              </w:rPr>
              <w:t>Rural</w:t>
            </w:r>
          </w:p>
        </w:tc>
      </w:tr>
      <w:tr w:rsidR="00456FD9" w:rsidRPr="00456FD9" w14:paraId="279ED1DD" w14:textId="77777777" w:rsidTr="00456FD9">
        <w:trPr>
          <w:trHeight w:val="300"/>
        </w:trPr>
        <w:tc>
          <w:tcPr>
            <w:cnfStyle w:val="001000000000" w:firstRow="0" w:lastRow="0" w:firstColumn="1" w:lastColumn="0" w:oddVBand="0" w:evenVBand="0" w:oddHBand="0" w:evenHBand="0" w:firstRowFirstColumn="0" w:firstRowLastColumn="0" w:lastRowFirstColumn="0" w:lastRowLastColumn="0"/>
            <w:tcW w:w="2403" w:type="dxa"/>
            <w:noWrap/>
            <w:hideMark/>
          </w:tcPr>
          <w:p w14:paraId="56D1DEEB" w14:textId="77777777" w:rsidR="00456FD9" w:rsidRPr="00456FD9" w:rsidRDefault="00456FD9" w:rsidP="00456FD9">
            <w:pPr>
              <w:jc w:val="left"/>
              <w:rPr>
                <w:rFonts w:ascii="Calibri" w:eastAsia="Times New Roman" w:hAnsi="Calibri" w:cs="Times New Roman"/>
                <w:lang w:eastAsia="en-GB"/>
              </w:rPr>
            </w:pPr>
            <w:r w:rsidRPr="00456FD9">
              <w:rPr>
                <w:rFonts w:ascii="Calibri" w:eastAsia="Times New Roman" w:hAnsi="Calibri" w:cs="Times New Roman"/>
                <w:lang w:eastAsia="en-GB"/>
              </w:rPr>
              <w:t>Road traffic patterns</w:t>
            </w:r>
          </w:p>
        </w:tc>
        <w:tc>
          <w:tcPr>
            <w:tcW w:w="1660" w:type="dxa"/>
            <w:noWrap/>
            <w:hideMark/>
          </w:tcPr>
          <w:p w14:paraId="4C61CF30" w14:textId="77777777" w:rsidR="00456FD9" w:rsidRPr="00456FD9" w:rsidRDefault="00456FD9" w:rsidP="00456F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456FD9">
              <w:rPr>
                <w:rFonts w:ascii="Calibri" w:eastAsia="Times New Roman" w:hAnsi="Calibri" w:cs="Times New Roman"/>
                <w:lang w:eastAsia="en-GB"/>
              </w:rPr>
              <w:t>Typical urban traffic</w:t>
            </w:r>
          </w:p>
        </w:tc>
        <w:tc>
          <w:tcPr>
            <w:tcW w:w="1583" w:type="dxa"/>
            <w:noWrap/>
            <w:hideMark/>
          </w:tcPr>
          <w:p w14:paraId="5F563AE7" w14:textId="77777777" w:rsidR="00456FD9" w:rsidRPr="00456FD9" w:rsidRDefault="00456FD9" w:rsidP="00456F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456FD9">
              <w:rPr>
                <w:rFonts w:ascii="Calibri" w:eastAsia="Times New Roman" w:hAnsi="Calibri" w:cs="Times New Roman"/>
                <w:lang w:eastAsia="en-GB"/>
              </w:rPr>
              <w:t>Major arterial road</w:t>
            </w:r>
          </w:p>
        </w:tc>
        <w:tc>
          <w:tcPr>
            <w:tcW w:w="1857" w:type="dxa"/>
            <w:noWrap/>
            <w:hideMark/>
          </w:tcPr>
          <w:p w14:paraId="0A1EA14A" w14:textId="77777777" w:rsidR="00456FD9" w:rsidRPr="00456FD9" w:rsidRDefault="00456FD9" w:rsidP="00456F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456FD9">
              <w:rPr>
                <w:rFonts w:ascii="Calibri" w:eastAsia="Times New Roman" w:hAnsi="Calibri" w:cs="Times New Roman"/>
                <w:lang w:eastAsia="en-GB"/>
              </w:rPr>
              <w:t>No major arterial road</w:t>
            </w:r>
          </w:p>
        </w:tc>
        <w:tc>
          <w:tcPr>
            <w:tcW w:w="1857" w:type="dxa"/>
            <w:noWrap/>
            <w:hideMark/>
          </w:tcPr>
          <w:p w14:paraId="541E408A" w14:textId="77777777" w:rsidR="00456FD9" w:rsidRPr="00456FD9" w:rsidRDefault="00456FD9" w:rsidP="00456F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456FD9">
              <w:rPr>
                <w:rFonts w:ascii="Calibri" w:eastAsia="Times New Roman" w:hAnsi="Calibri" w:cs="Times New Roman"/>
                <w:lang w:eastAsia="en-GB"/>
              </w:rPr>
              <w:t>No major arterial road</w:t>
            </w:r>
          </w:p>
        </w:tc>
      </w:tr>
      <w:tr w:rsidR="00456FD9" w:rsidRPr="00456FD9" w14:paraId="53DEF3F3" w14:textId="77777777" w:rsidTr="00456F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3" w:type="dxa"/>
            <w:noWrap/>
            <w:hideMark/>
          </w:tcPr>
          <w:p w14:paraId="12E5DC10" w14:textId="77777777" w:rsidR="00456FD9" w:rsidRPr="00456FD9" w:rsidRDefault="00456FD9" w:rsidP="00456FD9">
            <w:pPr>
              <w:jc w:val="left"/>
              <w:rPr>
                <w:rFonts w:ascii="Calibri" w:eastAsia="Times New Roman" w:hAnsi="Calibri" w:cs="Times New Roman"/>
                <w:lang w:eastAsia="en-GB"/>
              </w:rPr>
            </w:pPr>
            <w:r w:rsidRPr="00456FD9">
              <w:rPr>
                <w:rFonts w:ascii="Calibri" w:eastAsia="Times New Roman" w:hAnsi="Calibri" w:cs="Times New Roman"/>
                <w:lang w:eastAsia="en-GB"/>
              </w:rPr>
              <w:t>Cars per km of road (normal)</w:t>
            </w:r>
          </w:p>
        </w:tc>
        <w:tc>
          <w:tcPr>
            <w:tcW w:w="1660" w:type="dxa"/>
            <w:noWrap/>
            <w:hideMark/>
          </w:tcPr>
          <w:p w14:paraId="1737FDF3" w14:textId="77777777" w:rsidR="00456FD9" w:rsidRPr="00456FD9" w:rsidRDefault="00456FD9" w:rsidP="00456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456FD9">
              <w:rPr>
                <w:rFonts w:ascii="Calibri" w:eastAsia="Times New Roman" w:hAnsi="Calibri" w:cs="Times New Roman"/>
                <w:lang w:eastAsia="en-GB"/>
              </w:rPr>
              <w:t>50</w:t>
            </w:r>
          </w:p>
        </w:tc>
        <w:tc>
          <w:tcPr>
            <w:tcW w:w="1583" w:type="dxa"/>
            <w:noWrap/>
            <w:hideMark/>
          </w:tcPr>
          <w:p w14:paraId="5A16063A" w14:textId="77777777" w:rsidR="00456FD9" w:rsidRPr="00456FD9" w:rsidRDefault="00456FD9" w:rsidP="00456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456FD9">
              <w:rPr>
                <w:rFonts w:ascii="Calibri" w:eastAsia="Times New Roman" w:hAnsi="Calibri" w:cs="Times New Roman"/>
                <w:lang w:eastAsia="en-GB"/>
              </w:rPr>
              <w:t>50</w:t>
            </w:r>
          </w:p>
        </w:tc>
        <w:tc>
          <w:tcPr>
            <w:tcW w:w="1857" w:type="dxa"/>
            <w:noWrap/>
            <w:hideMark/>
          </w:tcPr>
          <w:p w14:paraId="19F9CCB1" w14:textId="77777777" w:rsidR="00456FD9" w:rsidRPr="00456FD9" w:rsidRDefault="00456FD9" w:rsidP="00456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456FD9">
              <w:rPr>
                <w:rFonts w:ascii="Calibri" w:eastAsia="Times New Roman" w:hAnsi="Calibri" w:cs="Times New Roman"/>
                <w:lang w:eastAsia="en-GB"/>
              </w:rPr>
              <w:t>20</w:t>
            </w:r>
          </w:p>
        </w:tc>
        <w:tc>
          <w:tcPr>
            <w:tcW w:w="1857" w:type="dxa"/>
            <w:noWrap/>
            <w:hideMark/>
          </w:tcPr>
          <w:p w14:paraId="1F2E722D" w14:textId="77777777" w:rsidR="00456FD9" w:rsidRPr="00456FD9" w:rsidRDefault="00456FD9" w:rsidP="00456F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456FD9">
              <w:rPr>
                <w:rFonts w:ascii="Calibri" w:eastAsia="Times New Roman" w:hAnsi="Calibri" w:cs="Times New Roman"/>
                <w:lang w:eastAsia="en-GB"/>
              </w:rPr>
              <w:t>10</w:t>
            </w:r>
          </w:p>
        </w:tc>
      </w:tr>
      <w:tr w:rsidR="00456FD9" w:rsidRPr="00456FD9" w14:paraId="17EAA197" w14:textId="77777777" w:rsidTr="00456FD9">
        <w:trPr>
          <w:trHeight w:val="300"/>
        </w:trPr>
        <w:tc>
          <w:tcPr>
            <w:cnfStyle w:val="001000000000" w:firstRow="0" w:lastRow="0" w:firstColumn="1" w:lastColumn="0" w:oddVBand="0" w:evenVBand="0" w:oddHBand="0" w:evenHBand="0" w:firstRowFirstColumn="0" w:firstRowLastColumn="0" w:lastRowFirstColumn="0" w:lastRowLastColumn="0"/>
            <w:tcW w:w="2403" w:type="dxa"/>
            <w:noWrap/>
            <w:hideMark/>
          </w:tcPr>
          <w:p w14:paraId="2B4195AF" w14:textId="77777777" w:rsidR="00456FD9" w:rsidRPr="00456FD9" w:rsidRDefault="00456FD9" w:rsidP="00456FD9">
            <w:pPr>
              <w:jc w:val="left"/>
              <w:rPr>
                <w:rFonts w:ascii="Calibri" w:eastAsia="Times New Roman" w:hAnsi="Calibri" w:cs="Times New Roman"/>
                <w:lang w:eastAsia="en-GB"/>
              </w:rPr>
            </w:pPr>
            <w:r w:rsidRPr="00456FD9">
              <w:rPr>
                <w:rFonts w:ascii="Calibri" w:eastAsia="Times New Roman" w:hAnsi="Calibri" w:cs="Times New Roman"/>
                <w:lang w:eastAsia="en-GB"/>
              </w:rPr>
              <w:t>Cars per km of road (busy)</w:t>
            </w:r>
          </w:p>
        </w:tc>
        <w:tc>
          <w:tcPr>
            <w:tcW w:w="1660" w:type="dxa"/>
            <w:noWrap/>
            <w:hideMark/>
          </w:tcPr>
          <w:p w14:paraId="0E181D57" w14:textId="77777777" w:rsidR="00456FD9" w:rsidRPr="00456FD9" w:rsidRDefault="00456FD9" w:rsidP="00456F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456FD9">
              <w:rPr>
                <w:rFonts w:ascii="Calibri" w:eastAsia="Times New Roman" w:hAnsi="Calibri" w:cs="Times New Roman"/>
                <w:lang w:eastAsia="en-GB"/>
              </w:rPr>
              <w:t>100</w:t>
            </w:r>
          </w:p>
        </w:tc>
        <w:tc>
          <w:tcPr>
            <w:tcW w:w="1583" w:type="dxa"/>
            <w:noWrap/>
            <w:hideMark/>
          </w:tcPr>
          <w:p w14:paraId="4E2A4003" w14:textId="77777777" w:rsidR="00456FD9" w:rsidRPr="00456FD9" w:rsidRDefault="00456FD9" w:rsidP="00456F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456FD9">
              <w:rPr>
                <w:rFonts w:ascii="Calibri" w:eastAsia="Times New Roman" w:hAnsi="Calibri" w:cs="Times New Roman"/>
                <w:lang w:eastAsia="en-GB"/>
              </w:rPr>
              <w:t>150</w:t>
            </w:r>
          </w:p>
        </w:tc>
        <w:tc>
          <w:tcPr>
            <w:tcW w:w="1857" w:type="dxa"/>
            <w:noWrap/>
            <w:hideMark/>
          </w:tcPr>
          <w:p w14:paraId="45E68FC7" w14:textId="77777777" w:rsidR="00456FD9" w:rsidRPr="00456FD9" w:rsidRDefault="00456FD9" w:rsidP="00456F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456FD9">
              <w:rPr>
                <w:rFonts w:ascii="Calibri" w:eastAsia="Times New Roman" w:hAnsi="Calibri" w:cs="Times New Roman"/>
                <w:lang w:eastAsia="en-GB"/>
              </w:rPr>
              <w:t>30</w:t>
            </w:r>
          </w:p>
        </w:tc>
        <w:tc>
          <w:tcPr>
            <w:tcW w:w="1857" w:type="dxa"/>
            <w:noWrap/>
            <w:hideMark/>
          </w:tcPr>
          <w:p w14:paraId="39269338" w14:textId="77777777" w:rsidR="00456FD9" w:rsidRPr="00456FD9" w:rsidRDefault="00456FD9" w:rsidP="00456F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456FD9">
              <w:rPr>
                <w:rFonts w:ascii="Calibri" w:eastAsia="Times New Roman" w:hAnsi="Calibri" w:cs="Times New Roman"/>
                <w:lang w:eastAsia="en-GB"/>
              </w:rPr>
              <w:t>20</w:t>
            </w:r>
          </w:p>
        </w:tc>
      </w:tr>
    </w:tbl>
    <w:p w14:paraId="1F45D3F5" w14:textId="77777777" w:rsidR="005231CA" w:rsidRPr="00456FD9" w:rsidRDefault="005231CA" w:rsidP="00456FD9">
      <w:pPr>
        <w:jc w:val="left"/>
        <w:rPr>
          <w:lang w:val="en-US"/>
        </w:rPr>
      </w:pPr>
      <w:r w:rsidRPr="00456FD9">
        <w:rPr>
          <w:lang w:val="en-US"/>
        </w:rPr>
        <w:br w:type="page"/>
      </w:r>
    </w:p>
    <w:p w14:paraId="54E11706" w14:textId="77777777" w:rsidR="00F640E4" w:rsidRDefault="00F640E4" w:rsidP="00F640E4">
      <w:pPr>
        <w:pStyle w:val="Heading1"/>
        <w:rPr>
          <w:lang w:val="en-US"/>
        </w:rPr>
      </w:pPr>
      <w:r>
        <w:rPr>
          <w:lang w:val="en-US"/>
        </w:rPr>
        <w:lastRenderedPageBreak/>
        <w:t>About Machina Research</w:t>
      </w:r>
    </w:p>
    <w:p w14:paraId="5A3D23C9" w14:textId="77777777" w:rsidR="00F640E4" w:rsidRPr="009B77DC" w:rsidRDefault="00F640E4" w:rsidP="00F640E4">
      <w:r w:rsidRPr="009B77DC">
        <w:t xml:space="preserve">Machina Research </w:t>
      </w:r>
      <w:r>
        <w:t>is the world’s leading provider of</w:t>
      </w:r>
      <w:r w:rsidRPr="009B77DC">
        <w:t xml:space="preserve"> market inte</w:t>
      </w:r>
      <w:r>
        <w:t>lligence and strategic insight on</w:t>
      </w:r>
      <w:r w:rsidRPr="009B77DC">
        <w:t xml:space="preserve"> the rapidly emerging Machine-to-Machine (M2M), Internet of Things and Big Data opportunities.</w:t>
      </w:r>
      <w:r>
        <w:t xml:space="preserve"> We provide market intelligence and strategic insight to help our clients maximise opportunities from these rapidly emerging markets. If your company is a mobile network operator, device vendor, infrastructure vendor, service provider or potential end user in the M2M, IoT, or Big Data space, we can help. </w:t>
      </w:r>
      <w:r w:rsidRPr="009B77DC">
        <w:t>We work in two way</w:t>
      </w:r>
      <w:r>
        <w:t>s:</w:t>
      </w:r>
    </w:p>
    <w:p w14:paraId="7692B15B" w14:textId="77777777" w:rsidR="00F640E4" w:rsidRPr="009B77DC" w:rsidRDefault="00F640E4" w:rsidP="00F640E4">
      <w:pPr>
        <w:pStyle w:val="ListParagraph"/>
        <w:numPr>
          <w:ilvl w:val="0"/>
          <w:numId w:val="33"/>
        </w:numPr>
      </w:pPr>
      <w:r w:rsidRPr="009B77DC">
        <w:t xml:space="preserve">Our </w:t>
      </w:r>
      <w:r w:rsidRPr="00C46BF4">
        <w:rPr>
          <w:b/>
        </w:rPr>
        <w:t>Advisory Service</w:t>
      </w:r>
      <w:r w:rsidRPr="009B77DC">
        <w:t xml:space="preserve"> </w:t>
      </w:r>
      <w:r>
        <w:t>consists of a set of Research Streams covering all aspects of M2M and IoT. Subscriptions to these multi-client services comprise Reports, Research Notes, Forecasts, Strategy Briefings and Analyst Enquiry</w:t>
      </w:r>
      <w:r w:rsidRPr="009B77DC">
        <w:t>.</w:t>
      </w:r>
    </w:p>
    <w:p w14:paraId="74AADA01" w14:textId="77777777" w:rsidR="00F640E4" w:rsidRPr="009B77DC" w:rsidRDefault="00F640E4" w:rsidP="00F640E4">
      <w:pPr>
        <w:pStyle w:val="ListParagraph"/>
        <w:numPr>
          <w:ilvl w:val="0"/>
          <w:numId w:val="33"/>
        </w:numPr>
      </w:pPr>
      <w:r w:rsidRPr="009B77DC">
        <w:t xml:space="preserve">Our </w:t>
      </w:r>
      <w:r w:rsidRPr="00C46BF4">
        <w:rPr>
          <w:b/>
        </w:rPr>
        <w:t>Custom Research and Consulting</w:t>
      </w:r>
      <w:r w:rsidRPr="009B77DC">
        <w:t xml:space="preserve"> team is available to meet your specific research requirements. This might include business case analysis, go-to-market strategies, sales support or marketing/white papers. </w:t>
      </w:r>
    </w:p>
    <w:p w14:paraId="597A5292" w14:textId="77777777" w:rsidR="00F640E4" w:rsidRDefault="00F640E4" w:rsidP="00F640E4">
      <w:r w:rsidRPr="00E82DFB">
        <w:t>Machina Research</w:t>
      </w:r>
      <w:r>
        <w:t>’s</w:t>
      </w:r>
      <w:r w:rsidRPr="00E82DFB">
        <w:t xml:space="preserve"> Advisory Service</w:t>
      </w:r>
      <w:r>
        <w:t xml:space="preserve"> provides</w:t>
      </w:r>
      <w:r w:rsidRPr="00E82DFB">
        <w:t xml:space="preserve"> comprehensive support for any organisation interested in the </w:t>
      </w:r>
      <w:r>
        <w:t>Internet of Things (IoT) or Machine-to-M</w:t>
      </w:r>
      <w:r w:rsidRPr="00E82DFB">
        <w:t xml:space="preserve">achine </w:t>
      </w:r>
      <w:r>
        <w:t xml:space="preserve">(M2M) </w:t>
      </w:r>
      <w:r w:rsidRPr="00E82DFB">
        <w:t xml:space="preserve">market opportunity. </w:t>
      </w:r>
      <w:r>
        <w:t>The Advisory Service consists of thirteen Research Streams (as illustrated in the graphic below), each focused on a different aspect of IoT or M2M. They each provide a mixture of quantitative and qualitative research targeted at that specific sector and supported by leading industry analysts.</w:t>
      </w:r>
    </w:p>
    <w:p w14:paraId="44BE8EC5" w14:textId="77777777" w:rsidR="00F640E4" w:rsidRDefault="00F640E4" w:rsidP="00F640E4">
      <w:pPr>
        <w:rPr>
          <w:rStyle w:val="IntenseEmphasis"/>
        </w:rPr>
      </w:pPr>
      <w:r w:rsidRPr="00D82057">
        <w:rPr>
          <w:rStyle w:val="IntenseEmphasis"/>
        </w:rPr>
        <w:t>Advisory Service Research Streams [Source: Machina Research, 2014]</w:t>
      </w:r>
    </w:p>
    <w:p w14:paraId="5D77EC56" w14:textId="77777777" w:rsidR="00F640E4" w:rsidRDefault="00F640E4" w:rsidP="00F640E4">
      <w:pPr>
        <w:jc w:val="center"/>
        <w:rPr>
          <w:rStyle w:val="IntenseEmphasis"/>
          <w:b w:val="0"/>
        </w:rPr>
      </w:pPr>
      <w:r>
        <w:rPr>
          <w:noProof/>
          <w:lang w:val="en-US"/>
        </w:rPr>
        <w:drawing>
          <wp:inline distT="0" distB="0" distL="0" distR="0" wp14:anchorId="452F7976" wp14:editId="49538ECA">
            <wp:extent cx="5125453" cy="26361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8582" cy="2642916"/>
                    </a:xfrm>
                    <a:prstGeom prst="rect">
                      <a:avLst/>
                    </a:prstGeom>
                    <a:noFill/>
                  </pic:spPr>
                </pic:pic>
              </a:graphicData>
            </a:graphic>
          </wp:inline>
        </w:drawing>
      </w:r>
    </w:p>
    <w:p w14:paraId="5CB2981A" w14:textId="77777777" w:rsidR="00F640E4" w:rsidRDefault="00F640E4" w:rsidP="00F640E4">
      <w:r w:rsidRPr="00AA7527">
        <w:t xml:space="preserve">Machina Research’s analysts </w:t>
      </w:r>
      <w:r>
        <w:t xml:space="preserve">also </w:t>
      </w:r>
      <w:r w:rsidRPr="00AA7527">
        <w:t xml:space="preserve">have a wealth of experience in client-specific consultancy and custom research. Typical work for clients may involve custom market sizing, competitor benchmarking, advice on market entry strategy, sales support, </w:t>
      </w:r>
      <w:r>
        <w:t xml:space="preserve">marketing/promotional activity, and </w:t>
      </w:r>
      <w:r w:rsidRPr="00AA7527">
        <w:t xml:space="preserve">white papers. </w:t>
      </w:r>
    </w:p>
    <w:p w14:paraId="4A81F6C2" w14:textId="77777777" w:rsidR="00F640E4" w:rsidRPr="00F640E4" w:rsidRDefault="00F640E4" w:rsidP="00F640E4">
      <w:pPr>
        <w:rPr>
          <w:lang w:val="en-US"/>
        </w:rPr>
      </w:pPr>
      <w:r>
        <w:t xml:space="preserve">For more information, refer to our website at </w:t>
      </w:r>
      <w:hyperlink r:id="rId13" w:history="1">
        <w:r w:rsidRPr="00F708FC">
          <w:rPr>
            <w:rStyle w:val="Hyperlink"/>
          </w:rPr>
          <w:t>https://machinaresearch.com</w:t>
        </w:r>
      </w:hyperlink>
      <w:r>
        <w:t>, or email us at enquiries@machinaresearch.com.</w:t>
      </w:r>
      <w:r>
        <w:rPr>
          <w:lang w:val="en-US"/>
        </w:rPr>
        <w:t xml:space="preserve"> </w:t>
      </w:r>
    </w:p>
    <w:sectPr w:rsidR="00F640E4" w:rsidRPr="00F640E4" w:rsidSect="005A7ADF">
      <w:headerReference w:type="default" r:id="rId14"/>
      <w:footerReference w:type="defaul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BA67B" w14:textId="77777777" w:rsidR="001C6EEA" w:rsidRDefault="001C6EEA" w:rsidP="008D5E11">
      <w:pPr>
        <w:spacing w:after="0" w:line="240" w:lineRule="auto"/>
      </w:pPr>
      <w:r>
        <w:separator/>
      </w:r>
    </w:p>
  </w:endnote>
  <w:endnote w:type="continuationSeparator" w:id="0">
    <w:p w14:paraId="69A54775" w14:textId="77777777" w:rsidR="001C6EEA" w:rsidRDefault="001C6EEA" w:rsidP="008D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38ED9" w14:textId="77777777" w:rsidR="00AC733E" w:rsidRPr="00C220A5" w:rsidRDefault="00AC733E" w:rsidP="00A92935">
    <w:pPr>
      <w:spacing w:after="0" w:line="240" w:lineRule="auto"/>
      <w:rPr>
        <w:rFonts w:cstheme="minorHAnsi"/>
        <w:b/>
        <w:color w:val="0070C0"/>
        <w:sz w:val="32"/>
        <w:szCs w:val="96"/>
        <w:lang w:val="en-US"/>
      </w:rPr>
    </w:pPr>
    <w:r>
      <w:rPr>
        <w:rFonts w:cstheme="minorHAnsi"/>
        <w:b/>
        <w:color w:val="0070C0"/>
        <w:lang w:val="en-US"/>
      </w:rPr>
      <w:t>Machina Research/</w:t>
    </w:r>
    <w:r w:rsidRPr="00E035D9">
      <w:rPr>
        <w:rFonts w:cstheme="minorHAnsi"/>
        <w:color w:val="943634" w:themeColor="accent2" w:themeShade="BF"/>
        <w:lang w:val="en-US"/>
      </w:rPr>
      <w:t>/</w:t>
    </w:r>
    <w:r>
      <w:rPr>
        <w:rFonts w:cstheme="minorHAnsi"/>
        <w:color w:val="943634" w:themeColor="accent2" w:themeShade="BF"/>
        <w:lang w:val="en-US"/>
      </w:rPr>
      <w:t xml:space="preserve">White Paper </w:t>
    </w:r>
    <w:r w:rsidRPr="00E035D9">
      <w:rPr>
        <w:rFonts w:cstheme="minorHAnsi"/>
        <w:color w:val="943634" w:themeColor="accent2" w:themeShade="BF"/>
        <w:sz w:val="20"/>
        <w:szCs w:val="48"/>
        <w:lang w:val="en-US"/>
      </w:rPr>
      <w:tab/>
    </w:r>
    <w:r>
      <w:rPr>
        <w:rFonts w:cstheme="minorHAnsi"/>
        <w:color w:val="943634" w:themeColor="accent2" w:themeShade="BF"/>
        <w:sz w:val="20"/>
        <w:szCs w:val="48"/>
        <w:lang w:val="en-US"/>
      </w:rPr>
      <w:tab/>
    </w:r>
    <w:r>
      <w:rPr>
        <w:rFonts w:cstheme="minorHAnsi"/>
        <w:color w:val="943634" w:themeColor="accent2" w:themeShade="BF"/>
        <w:sz w:val="20"/>
        <w:szCs w:val="48"/>
        <w:lang w:val="en-US"/>
      </w:rPr>
      <w:tab/>
    </w:r>
    <w:r w:rsidRPr="00E035D9">
      <w:rPr>
        <w:rFonts w:cstheme="minorHAnsi"/>
        <w:color w:val="943634" w:themeColor="accent2" w:themeShade="BF"/>
        <w:sz w:val="20"/>
        <w:szCs w:val="48"/>
        <w:lang w:val="en-US"/>
      </w:rPr>
      <w:tab/>
    </w:r>
    <w:r w:rsidRPr="00E035D9">
      <w:rPr>
        <w:rFonts w:cstheme="minorHAnsi"/>
        <w:color w:val="943634" w:themeColor="accent2" w:themeShade="BF"/>
        <w:sz w:val="20"/>
        <w:szCs w:val="48"/>
        <w:lang w:val="en-US"/>
      </w:rPr>
      <w:tab/>
    </w:r>
    <w:r>
      <w:rPr>
        <w:rFonts w:cstheme="minorHAnsi"/>
        <w:color w:val="943634" w:themeColor="accent2" w:themeShade="BF"/>
        <w:sz w:val="20"/>
        <w:szCs w:val="48"/>
        <w:lang w:val="en-US"/>
      </w:rPr>
      <w:t xml:space="preserve">       </w:t>
    </w:r>
    <w:r w:rsidRPr="00E035D9">
      <w:rPr>
        <w:rFonts w:cstheme="minorHAnsi"/>
        <w:color w:val="943634" w:themeColor="accent2" w:themeShade="BF"/>
        <w:sz w:val="20"/>
        <w:szCs w:val="48"/>
        <w:lang w:val="en-US"/>
      </w:rPr>
      <w:t>© Machina Research, 201</w:t>
    </w:r>
    <w:r>
      <w:rPr>
        <w:rFonts w:cstheme="minorHAnsi"/>
        <w:color w:val="943634" w:themeColor="accent2" w:themeShade="BF"/>
        <w:sz w:val="20"/>
        <w:szCs w:val="48"/>
        <w:lang w:val="en-US"/>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53BA3" w14:textId="77777777" w:rsidR="001C6EEA" w:rsidRDefault="001C6EEA" w:rsidP="008D5E11">
      <w:pPr>
        <w:spacing w:after="0" w:line="240" w:lineRule="auto"/>
      </w:pPr>
      <w:r>
        <w:separator/>
      </w:r>
    </w:p>
  </w:footnote>
  <w:footnote w:type="continuationSeparator" w:id="0">
    <w:p w14:paraId="0E066C4F" w14:textId="77777777" w:rsidR="001C6EEA" w:rsidRDefault="001C6EEA" w:rsidP="008D5E11">
      <w:pPr>
        <w:spacing w:after="0" w:line="240" w:lineRule="auto"/>
      </w:pPr>
      <w:r>
        <w:continuationSeparator/>
      </w:r>
    </w:p>
  </w:footnote>
  <w:footnote w:id="1">
    <w:p w14:paraId="35068F10" w14:textId="77777777" w:rsidR="00AC733E" w:rsidRDefault="00AC733E">
      <w:pPr>
        <w:pStyle w:val="FootnoteText"/>
      </w:pPr>
      <w:r>
        <w:rPr>
          <w:rStyle w:val="FootnoteReference"/>
        </w:rPr>
        <w:footnoteRef/>
      </w:r>
      <w:r>
        <w:t xml:space="preserve"> See </w:t>
      </w:r>
      <w:hyperlink r:id="rId1" w:history="1">
        <w:r w:rsidRPr="00B95FE2">
          <w:rPr>
            <w:rStyle w:val="Hyperlink"/>
          </w:rPr>
          <w:t>https://machinaresearch.com/news/press-release-new-study-from-machina-research-maps-the-dna-of-m2m/</w:t>
        </w:r>
      </w:hyperlink>
      <w:r>
        <w:t xml:space="preserve"> for more on this research.</w:t>
      </w:r>
    </w:p>
  </w:footnote>
  <w:footnote w:id="2">
    <w:p w14:paraId="57AB3A5E" w14:textId="77777777" w:rsidR="00AC733E" w:rsidRDefault="00AC733E">
      <w:pPr>
        <w:pStyle w:val="FootnoteText"/>
      </w:pPr>
      <w:r>
        <w:rPr>
          <w:rStyle w:val="FootnoteReference"/>
        </w:rPr>
        <w:footnoteRef/>
      </w:r>
      <w:r>
        <w:t xml:space="preserve"> For more information on the M2M Forecast Database, see </w:t>
      </w:r>
      <w:r w:rsidRPr="005231CA">
        <w:t>https://machinaresearch.com/what-we-do/advisory-service/m2m-forecast-database/</w:t>
      </w:r>
    </w:p>
  </w:footnote>
  <w:footnote w:id="3">
    <w:p w14:paraId="5EEB1505" w14:textId="77777777" w:rsidR="00AC733E" w:rsidRDefault="00AC733E">
      <w:pPr>
        <w:pStyle w:val="FootnoteText"/>
      </w:pPr>
      <w:r>
        <w:rPr>
          <w:rStyle w:val="FootnoteReference"/>
        </w:rPr>
        <w:footnoteRef/>
      </w:r>
      <w:r>
        <w:t xml:space="preserve"> For more information on our Connected Car research, see </w:t>
      </w:r>
      <w:r w:rsidRPr="004E5B58">
        <w:t>https://machinaresearch.com/what-we-do/advisory-service/connected-car/</w:t>
      </w:r>
    </w:p>
  </w:footnote>
  <w:footnote w:id="4">
    <w:p w14:paraId="7B9237BB" w14:textId="77777777" w:rsidR="00AC733E" w:rsidRDefault="00AC733E">
      <w:pPr>
        <w:pStyle w:val="FootnoteText"/>
      </w:pPr>
      <w:r>
        <w:rPr>
          <w:rStyle w:val="FootnoteReference"/>
        </w:rPr>
        <w:footnoteRef/>
      </w:r>
      <w:r>
        <w:t xml:space="preserve"> This is a figure for 2014, based on approximate connections compared to numbers of vehicles in developed markets. Over the forecast period this will increase substantially, to ~0.8 in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941589"/>
      <w:docPartObj>
        <w:docPartGallery w:val="Page Numbers (Top of Page)"/>
        <w:docPartUnique/>
      </w:docPartObj>
    </w:sdtPr>
    <w:sdtEndPr>
      <w:rPr>
        <w:noProof/>
      </w:rPr>
    </w:sdtEndPr>
    <w:sdtContent>
      <w:p w14:paraId="6D601E2B" w14:textId="77777777" w:rsidR="00AC733E" w:rsidRDefault="00AC733E">
        <w:pPr>
          <w:pStyle w:val="Header"/>
          <w:jc w:val="right"/>
        </w:pPr>
        <w:r>
          <w:fldChar w:fldCharType="begin"/>
        </w:r>
        <w:r>
          <w:instrText xml:space="preserve"> PAGE   \* MERGEFORMAT </w:instrText>
        </w:r>
        <w:r>
          <w:fldChar w:fldCharType="separate"/>
        </w:r>
        <w:r w:rsidR="00E5036C">
          <w:rPr>
            <w:noProof/>
          </w:rPr>
          <w:t>12</w:t>
        </w:r>
        <w:r>
          <w:rPr>
            <w:noProof/>
          </w:rPr>
          <w:fldChar w:fldCharType="end"/>
        </w:r>
      </w:p>
    </w:sdtContent>
  </w:sdt>
  <w:p w14:paraId="1B724DEF" w14:textId="77777777" w:rsidR="00AC733E" w:rsidRDefault="00AC7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B04"/>
    <w:multiLevelType w:val="hybridMultilevel"/>
    <w:tmpl w:val="86307B1E"/>
    <w:lvl w:ilvl="0" w:tplc="0C62558A">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30568"/>
    <w:multiLevelType w:val="hybridMultilevel"/>
    <w:tmpl w:val="18E4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A0174"/>
    <w:multiLevelType w:val="hybridMultilevel"/>
    <w:tmpl w:val="11568F36"/>
    <w:lvl w:ilvl="0" w:tplc="0C62558A">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A2AC6"/>
    <w:multiLevelType w:val="hybridMultilevel"/>
    <w:tmpl w:val="65584DAE"/>
    <w:lvl w:ilvl="0" w:tplc="0C62558A">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FE2BD4"/>
    <w:multiLevelType w:val="hybridMultilevel"/>
    <w:tmpl w:val="312A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5A6CB8"/>
    <w:multiLevelType w:val="hybridMultilevel"/>
    <w:tmpl w:val="4E881EF2"/>
    <w:lvl w:ilvl="0" w:tplc="0C62558A">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43F97"/>
    <w:multiLevelType w:val="hybridMultilevel"/>
    <w:tmpl w:val="9F24AEF0"/>
    <w:lvl w:ilvl="0" w:tplc="C068D86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8907BA"/>
    <w:multiLevelType w:val="hybridMultilevel"/>
    <w:tmpl w:val="59964652"/>
    <w:lvl w:ilvl="0" w:tplc="0C62558A">
      <w:start w:val="1"/>
      <w:numFmt w:val="bullet"/>
      <w:lvlText w:val=""/>
      <w:lvlJc w:val="left"/>
      <w:pPr>
        <w:ind w:left="770" w:hanging="360"/>
      </w:pPr>
      <w:rPr>
        <w:rFonts w:ascii="Symbol" w:hAnsi="Symbol" w:hint="default"/>
        <w:color w:val="C00000"/>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nsid w:val="1D9B7B87"/>
    <w:multiLevelType w:val="hybridMultilevel"/>
    <w:tmpl w:val="6BC03D82"/>
    <w:lvl w:ilvl="0" w:tplc="0C62558A">
      <w:start w:val="1"/>
      <w:numFmt w:val="bullet"/>
      <w:lvlText w:val=""/>
      <w:lvlJc w:val="left"/>
      <w:pPr>
        <w:ind w:left="820" w:hanging="360"/>
      </w:pPr>
      <w:rPr>
        <w:rFonts w:ascii="Symbol" w:hAnsi="Symbol" w:hint="default"/>
        <w:color w:val="C00000"/>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nsid w:val="21487941"/>
    <w:multiLevelType w:val="hybridMultilevel"/>
    <w:tmpl w:val="184A25EE"/>
    <w:lvl w:ilvl="0" w:tplc="C068D86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985A18"/>
    <w:multiLevelType w:val="hybridMultilevel"/>
    <w:tmpl w:val="1ACED226"/>
    <w:lvl w:ilvl="0" w:tplc="C068D86C">
      <w:start w:val="1"/>
      <w:numFmt w:val="bullet"/>
      <w:lvlText w:val=""/>
      <w:lvlJc w:val="left"/>
      <w:pPr>
        <w:ind w:left="3600" w:hanging="360"/>
      </w:pPr>
      <w:rPr>
        <w:rFonts w:ascii="Symbol" w:hAnsi="Symbol" w:hint="default"/>
        <w:color w:val="C0000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nsid w:val="249646EB"/>
    <w:multiLevelType w:val="hybridMultilevel"/>
    <w:tmpl w:val="D9C4C0D0"/>
    <w:lvl w:ilvl="0" w:tplc="0C62558A">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220D9D"/>
    <w:multiLevelType w:val="hybridMultilevel"/>
    <w:tmpl w:val="C50CFEC4"/>
    <w:lvl w:ilvl="0" w:tplc="0C62558A">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68425A"/>
    <w:multiLevelType w:val="hybridMultilevel"/>
    <w:tmpl w:val="727A14C0"/>
    <w:lvl w:ilvl="0" w:tplc="C068D86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BD0885"/>
    <w:multiLevelType w:val="hybridMultilevel"/>
    <w:tmpl w:val="32044884"/>
    <w:lvl w:ilvl="0" w:tplc="C068D86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D112E4"/>
    <w:multiLevelType w:val="hybridMultilevel"/>
    <w:tmpl w:val="DD466C82"/>
    <w:lvl w:ilvl="0" w:tplc="C068D86C">
      <w:start w:val="1"/>
      <w:numFmt w:val="bullet"/>
      <w:lvlText w:val=""/>
      <w:lvlJc w:val="left"/>
      <w:pPr>
        <w:ind w:left="3600" w:hanging="360"/>
      </w:pPr>
      <w:rPr>
        <w:rFonts w:ascii="Symbol" w:hAnsi="Symbol" w:hint="default"/>
        <w:color w:val="C0000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nsid w:val="31862D13"/>
    <w:multiLevelType w:val="hybridMultilevel"/>
    <w:tmpl w:val="E46C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D9658F"/>
    <w:multiLevelType w:val="hybridMultilevel"/>
    <w:tmpl w:val="DCAEB79C"/>
    <w:lvl w:ilvl="0" w:tplc="0C62558A">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E36BBD"/>
    <w:multiLevelType w:val="hybridMultilevel"/>
    <w:tmpl w:val="252EBFBA"/>
    <w:lvl w:ilvl="0" w:tplc="0C62558A">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F105D2"/>
    <w:multiLevelType w:val="hybridMultilevel"/>
    <w:tmpl w:val="0DF6F2E0"/>
    <w:lvl w:ilvl="0" w:tplc="ECCE456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4612CB"/>
    <w:multiLevelType w:val="hybridMultilevel"/>
    <w:tmpl w:val="6D48FC9C"/>
    <w:lvl w:ilvl="0" w:tplc="0C62558A">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FA1985"/>
    <w:multiLevelType w:val="hybridMultilevel"/>
    <w:tmpl w:val="836C6E3A"/>
    <w:lvl w:ilvl="0" w:tplc="0C62558A">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160895"/>
    <w:multiLevelType w:val="hybridMultilevel"/>
    <w:tmpl w:val="FBBABEA8"/>
    <w:lvl w:ilvl="0" w:tplc="C068D86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FD140C"/>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3532EE"/>
    <w:multiLevelType w:val="hybridMultilevel"/>
    <w:tmpl w:val="07CC8922"/>
    <w:lvl w:ilvl="0" w:tplc="C068D86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C86AD4"/>
    <w:multiLevelType w:val="hybridMultilevel"/>
    <w:tmpl w:val="38DE0FF2"/>
    <w:lvl w:ilvl="0" w:tplc="0C62558A">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7A043B"/>
    <w:multiLevelType w:val="hybridMultilevel"/>
    <w:tmpl w:val="E64809F0"/>
    <w:lvl w:ilvl="0" w:tplc="C068D86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8755E5"/>
    <w:multiLevelType w:val="multilevel"/>
    <w:tmpl w:val="6EF4E71E"/>
    <w:lvl w:ilvl="0">
      <w:start w:val="1"/>
      <w:numFmt w:val="decimal"/>
      <w:lvlText w:val="%1"/>
      <w:lvlJc w:val="left"/>
      <w:pPr>
        <w:tabs>
          <w:tab w:val="num" w:pos="360"/>
        </w:tabs>
        <w:ind w:left="170" w:hanging="170"/>
      </w:pPr>
    </w:lvl>
    <w:lvl w:ilvl="1">
      <w:start w:val="1"/>
      <w:numFmt w:val="decimal"/>
      <w:lvlText w:val="%1.%2"/>
      <w:lvlJc w:val="left"/>
      <w:pPr>
        <w:tabs>
          <w:tab w:val="num" w:pos="720"/>
        </w:tabs>
        <w:ind w:left="499" w:hanging="499"/>
      </w:pPr>
    </w:lvl>
    <w:lvl w:ilvl="2">
      <w:start w:val="1"/>
      <w:numFmt w:val="decimal"/>
      <w:lvlText w:val="%1.%2.%3"/>
      <w:lvlJc w:val="left"/>
      <w:pPr>
        <w:tabs>
          <w:tab w:val="num" w:pos="1080"/>
        </w:tabs>
        <w:ind w:left="499" w:hanging="499"/>
      </w:pPr>
    </w:lvl>
    <w:lvl w:ilvl="3">
      <w:start w:val="1"/>
      <w:numFmt w:val="none"/>
      <w:suff w:val="nothing"/>
      <w:lvlText w:val=""/>
      <w:lvlJc w:val="left"/>
      <w:pPr>
        <w:ind w:left="0" w:firstLine="0"/>
      </w:pPr>
      <w:rPr>
        <w:rFonts w:ascii="Symbol" w:hAnsi="Symbol"/>
      </w:rPr>
    </w:lvl>
    <w:lvl w:ilvl="4">
      <w:start w:val="1"/>
      <w:numFmt w:val="none"/>
      <w:lvlText w:val=""/>
      <w:lvlJc w:val="left"/>
      <w:pPr>
        <w:tabs>
          <w:tab w:val="num" w:pos="357"/>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0" w:firstLine="0"/>
      </w:pPr>
    </w:lvl>
  </w:abstractNum>
  <w:abstractNum w:abstractNumId="28">
    <w:nsid w:val="53EB36E7"/>
    <w:multiLevelType w:val="hybridMultilevel"/>
    <w:tmpl w:val="0372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C36D3D"/>
    <w:multiLevelType w:val="multilevel"/>
    <w:tmpl w:val="2208FAD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E552C5F"/>
    <w:multiLevelType w:val="hybridMultilevel"/>
    <w:tmpl w:val="4DEA6B7E"/>
    <w:lvl w:ilvl="0" w:tplc="0C62558A">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CD7AEC"/>
    <w:multiLevelType w:val="hybridMultilevel"/>
    <w:tmpl w:val="3C5AA1B0"/>
    <w:lvl w:ilvl="0" w:tplc="08090001">
      <w:start w:val="1"/>
      <w:numFmt w:val="bullet"/>
      <w:lvlText w:val=""/>
      <w:lvlJc w:val="left"/>
      <w:pPr>
        <w:ind w:left="720" w:hanging="360"/>
      </w:pPr>
      <w:rPr>
        <w:rFonts w:ascii="Symbol" w:hAnsi="Symbol" w:hint="default"/>
      </w:rPr>
    </w:lvl>
    <w:lvl w:ilvl="1" w:tplc="5700040A">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DD1E46"/>
    <w:multiLevelType w:val="hybridMultilevel"/>
    <w:tmpl w:val="C9E86372"/>
    <w:lvl w:ilvl="0" w:tplc="0C62558A">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4115B9"/>
    <w:multiLevelType w:val="hybridMultilevel"/>
    <w:tmpl w:val="05166BFE"/>
    <w:lvl w:ilvl="0" w:tplc="ECCE456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6E0B0A"/>
    <w:multiLevelType w:val="hybridMultilevel"/>
    <w:tmpl w:val="4D8A08A6"/>
    <w:lvl w:ilvl="0" w:tplc="C068D86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8E3DC0"/>
    <w:multiLevelType w:val="hybridMultilevel"/>
    <w:tmpl w:val="6720C0A0"/>
    <w:lvl w:ilvl="0" w:tplc="C068D86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C9564D"/>
    <w:multiLevelType w:val="multilevel"/>
    <w:tmpl w:val="40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73AF567C"/>
    <w:multiLevelType w:val="hybridMultilevel"/>
    <w:tmpl w:val="9B9668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4070CE3"/>
    <w:multiLevelType w:val="hybridMultilevel"/>
    <w:tmpl w:val="01C2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1E547E"/>
    <w:multiLevelType w:val="hybridMultilevel"/>
    <w:tmpl w:val="6D2827C2"/>
    <w:lvl w:ilvl="0" w:tplc="0C62558A">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2F55A3"/>
    <w:multiLevelType w:val="hybridMultilevel"/>
    <w:tmpl w:val="26B0B2F0"/>
    <w:lvl w:ilvl="0" w:tplc="ECCE4560">
      <w:start w:val="1"/>
      <w:numFmt w:val="bullet"/>
      <w:lvlText w:val=""/>
      <w:lvlJc w:val="left"/>
      <w:pPr>
        <w:ind w:left="776" w:hanging="360"/>
      </w:pPr>
      <w:rPr>
        <w:rFonts w:ascii="Symbol" w:hAnsi="Symbol" w:hint="default"/>
        <w:color w:val="C00000"/>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37"/>
  </w:num>
  <w:num w:numId="2">
    <w:abstractNumId w:val="29"/>
  </w:num>
  <w:num w:numId="3">
    <w:abstractNumId w:val="36"/>
  </w:num>
  <w:num w:numId="4">
    <w:abstractNumId w:val="23"/>
  </w:num>
  <w:num w:numId="5">
    <w:abstractNumId w:val="1"/>
  </w:num>
  <w:num w:numId="6">
    <w:abstractNumId w:val="38"/>
  </w:num>
  <w:num w:numId="7">
    <w:abstractNumId w:val="31"/>
  </w:num>
  <w:num w:numId="8">
    <w:abstractNumId w:val="4"/>
  </w:num>
  <w:num w:numId="9">
    <w:abstractNumId w:val="16"/>
  </w:num>
  <w:num w:numId="10">
    <w:abstractNumId w:val="33"/>
  </w:num>
  <w:num w:numId="11">
    <w:abstractNumId w:val="19"/>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1"/>
  </w:num>
  <w:num w:numId="15">
    <w:abstractNumId w:val="27"/>
  </w:num>
  <w:num w:numId="16">
    <w:abstractNumId w:val="39"/>
  </w:num>
  <w:num w:numId="17">
    <w:abstractNumId w:val="17"/>
  </w:num>
  <w:num w:numId="18">
    <w:abstractNumId w:val="30"/>
  </w:num>
  <w:num w:numId="19">
    <w:abstractNumId w:val="25"/>
  </w:num>
  <w:num w:numId="20">
    <w:abstractNumId w:val="20"/>
  </w:num>
  <w:num w:numId="21">
    <w:abstractNumId w:val="11"/>
  </w:num>
  <w:num w:numId="22">
    <w:abstractNumId w:val="3"/>
  </w:num>
  <w:num w:numId="23">
    <w:abstractNumId w:val="5"/>
  </w:num>
  <w:num w:numId="24">
    <w:abstractNumId w:val="40"/>
  </w:num>
  <w:num w:numId="25">
    <w:abstractNumId w:val="32"/>
  </w:num>
  <w:num w:numId="26">
    <w:abstractNumId w:val="12"/>
  </w:num>
  <w:num w:numId="27">
    <w:abstractNumId w:val="8"/>
  </w:num>
  <w:num w:numId="28">
    <w:abstractNumId w:val="18"/>
  </w:num>
  <w:num w:numId="29">
    <w:abstractNumId w:val="24"/>
  </w:num>
  <w:num w:numId="30">
    <w:abstractNumId w:val="0"/>
  </w:num>
  <w:num w:numId="31">
    <w:abstractNumId w:val="7"/>
  </w:num>
  <w:num w:numId="32">
    <w:abstractNumId w:val="26"/>
  </w:num>
  <w:num w:numId="33">
    <w:abstractNumId w:val="14"/>
  </w:num>
  <w:num w:numId="34">
    <w:abstractNumId w:val="28"/>
  </w:num>
  <w:num w:numId="35">
    <w:abstractNumId w:val="6"/>
  </w:num>
  <w:num w:numId="36">
    <w:abstractNumId w:val="22"/>
  </w:num>
  <w:num w:numId="37">
    <w:abstractNumId w:val="9"/>
  </w:num>
  <w:num w:numId="38">
    <w:abstractNumId w:val="34"/>
  </w:num>
  <w:num w:numId="39">
    <w:abstractNumId w:val="35"/>
  </w:num>
  <w:num w:numId="40">
    <w:abstractNumId w:val="13"/>
  </w:num>
  <w:num w:numId="41">
    <w:abstractNumId w:val="1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C8"/>
    <w:rsid w:val="00000033"/>
    <w:rsid w:val="00003063"/>
    <w:rsid w:val="0000343C"/>
    <w:rsid w:val="0000429F"/>
    <w:rsid w:val="00011A6C"/>
    <w:rsid w:val="00012ED8"/>
    <w:rsid w:val="0001465A"/>
    <w:rsid w:val="00020CAE"/>
    <w:rsid w:val="00022600"/>
    <w:rsid w:val="00024097"/>
    <w:rsid w:val="00033022"/>
    <w:rsid w:val="00035FEF"/>
    <w:rsid w:val="00040CA7"/>
    <w:rsid w:val="00042AFD"/>
    <w:rsid w:val="00042D52"/>
    <w:rsid w:val="00047DB5"/>
    <w:rsid w:val="00055CD6"/>
    <w:rsid w:val="00061171"/>
    <w:rsid w:val="0007145C"/>
    <w:rsid w:val="00071849"/>
    <w:rsid w:val="00081B00"/>
    <w:rsid w:val="0008262B"/>
    <w:rsid w:val="00082D22"/>
    <w:rsid w:val="00091348"/>
    <w:rsid w:val="00094231"/>
    <w:rsid w:val="00097787"/>
    <w:rsid w:val="000A101B"/>
    <w:rsid w:val="000A6A15"/>
    <w:rsid w:val="000A7F3D"/>
    <w:rsid w:val="000B0401"/>
    <w:rsid w:val="000C4110"/>
    <w:rsid w:val="000C68EE"/>
    <w:rsid w:val="000C7C7C"/>
    <w:rsid w:val="000D0E86"/>
    <w:rsid w:val="000D1849"/>
    <w:rsid w:val="000E374A"/>
    <w:rsid w:val="000E4FDB"/>
    <w:rsid w:val="000F4CDA"/>
    <w:rsid w:val="000F607E"/>
    <w:rsid w:val="0010086F"/>
    <w:rsid w:val="0010549E"/>
    <w:rsid w:val="0010592B"/>
    <w:rsid w:val="00106F77"/>
    <w:rsid w:val="0011161F"/>
    <w:rsid w:val="00115141"/>
    <w:rsid w:val="001175BF"/>
    <w:rsid w:val="00117E8A"/>
    <w:rsid w:val="0012137B"/>
    <w:rsid w:val="00126841"/>
    <w:rsid w:val="0013023D"/>
    <w:rsid w:val="001333E0"/>
    <w:rsid w:val="00134900"/>
    <w:rsid w:val="00135812"/>
    <w:rsid w:val="001369B9"/>
    <w:rsid w:val="00137FEF"/>
    <w:rsid w:val="00142A46"/>
    <w:rsid w:val="00146FB3"/>
    <w:rsid w:val="00147746"/>
    <w:rsid w:val="00150281"/>
    <w:rsid w:val="00152824"/>
    <w:rsid w:val="0015326F"/>
    <w:rsid w:val="001577C3"/>
    <w:rsid w:val="001629E7"/>
    <w:rsid w:val="00163548"/>
    <w:rsid w:val="001675B8"/>
    <w:rsid w:val="00171398"/>
    <w:rsid w:val="0017319F"/>
    <w:rsid w:val="001779E3"/>
    <w:rsid w:val="0018036A"/>
    <w:rsid w:val="001864F0"/>
    <w:rsid w:val="0018659A"/>
    <w:rsid w:val="00187914"/>
    <w:rsid w:val="00196364"/>
    <w:rsid w:val="00196EFB"/>
    <w:rsid w:val="00196FF4"/>
    <w:rsid w:val="00197D24"/>
    <w:rsid w:val="001A1DFD"/>
    <w:rsid w:val="001A2872"/>
    <w:rsid w:val="001A34A4"/>
    <w:rsid w:val="001A3AC7"/>
    <w:rsid w:val="001A78EC"/>
    <w:rsid w:val="001B21C6"/>
    <w:rsid w:val="001B6543"/>
    <w:rsid w:val="001B6D71"/>
    <w:rsid w:val="001B795B"/>
    <w:rsid w:val="001C0E97"/>
    <w:rsid w:val="001C1268"/>
    <w:rsid w:val="001C2D2D"/>
    <w:rsid w:val="001C4B09"/>
    <w:rsid w:val="001C6EEA"/>
    <w:rsid w:val="001C7CBD"/>
    <w:rsid w:val="001D4852"/>
    <w:rsid w:val="001D4F2B"/>
    <w:rsid w:val="001D551D"/>
    <w:rsid w:val="001D76F5"/>
    <w:rsid w:val="001E143D"/>
    <w:rsid w:val="001E2B6E"/>
    <w:rsid w:val="001E38F3"/>
    <w:rsid w:val="001F3412"/>
    <w:rsid w:val="00203C5D"/>
    <w:rsid w:val="00206149"/>
    <w:rsid w:val="00211DAF"/>
    <w:rsid w:val="00213012"/>
    <w:rsid w:val="00215488"/>
    <w:rsid w:val="002224CA"/>
    <w:rsid w:val="002243AE"/>
    <w:rsid w:val="00244475"/>
    <w:rsid w:val="00245C72"/>
    <w:rsid w:val="00252EC2"/>
    <w:rsid w:val="00256680"/>
    <w:rsid w:val="00262436"/>
    <w:rsid w:val="002729DC"/>
    <w:rsid w:val="0027436F"/>
    <w:rsid w:val="00280711"/>
    <w:rsid w:val="00294E4E"/>
    <w:rsid w:val="00297FF7"/>
    <w:rsid w:val="002A0773"/>
    <w:rsid w:val="002A153A"/>
    <w:rsid w:val="002A2670"/>
    <w:rsid w:val="002A3062"/>
    <w:rsid w:val="002A3E6A"/>
    <w:rsid w:val="002B614C"/>
    <w:rsid w:val="002C0E4D"/>
    <w:rsid w:val="002C6003"/>
    <w:rsid w:val="002D4041"/>
    <w:rsid w:val="002D4784"/>
    <w:rsid w:val="002D6A6A"/>
    <w:rsid w:val="002E0F60"/>
    <w:rsid w:val="002E2584"/>
    <w:rsid w:val="002E595B"/>
    <w:rsid w:val="002E5F51"/>
    <w:rsid w:val="002F17D4"/>
    <w:rsid w:val="002F28F0"/>
    <w:rsid w:val="002F62E9"/>
    <w:rsid w:val="002F6B81"/>
    <w:rsid w:val="002F7B8E"/>
    <w:rsid w:val="002F7F76"/>
    <w:rsid w:val="00300257"/>
    <w:rsid w:val="00305ACF"/>
    <w:rsid w:val="00306D41"/>
    <w:rsid w:val="00306DF9"/>
    <w:rsid w:val="0031069F"/>
    <w:rsid w:val="00310C00"/>
    <w:rsid w:val="00313B83"/>
    <w:rsid w:val="00317757"/>
    <w:rsid w:val="003220A9"/>
    <w:rsid w:val="003234D9"/>
    <w:rsid w:val="00324764"/>
    <w:rsid w:val="003255EA"/>
    <w:rsid w:val="00341282"/>
    <w:rsid w:val="00344F9E"/>
    <w:rsid w:val="003568E2"/>
    <w:rsid w:val="003639E7"/>
    <w:rsid w:val="003646F1"/>
    <w:rsid w:val="00364729"/>
    <w:rsid w:val="003679D5"/>
    <w:rsid w:val="003703EA"/>
    <w:rsid w:val="00370AAF"/>
    <w:rsid w:val="0038333A"/>
    <w:rsid w:val="00386E94"/>
    <w:rsid w:val="00393CC8"/>
    <w:rsid w:val="003953DA"/>
    <w:rsid w:val="003A3A48"/>
    <w:rsid w:val="003A5E71"/>
    <w:rsid w:val="003A7763"/>
    <w:rsid w:val="003B0F81"/>
    <w:rsid w:val="003B33A4"/>
    <w:rsid w:val="003B474A"/>
    <w:rsid w:val="003B5C41"/>
    <w:rsid w:val="003B7140"/>
    <w:rsid w:val="003C60F8"/>
    <w:rsid w:val="003D0174"/>
    <w:rsid w:val="003D16DC"/>
    <w:rsid w:val="003E0B0F"/>
    <w:rsid w:val="003E328D"/>
    <w:rsid w:val="003E478C"/>
    <w:rsid w:val="003E61DA"/>
    <w:rsid w:val="003F56BB"/>
    <w:rsid w:val="003F6166"/>
    <w:rsid w:val="003F63A5"/>
    <w:rsid w:val="003F763D"/>
    <w:rsid w:val="00401253"/>
    <w:rsid w:val="00402555"/>
    <w:rsid w:val="00410058"/>
    <w:rsid w:val="00421900"/>
    <w:rsid w:val="00421D1E"/>
    <w:rsid w:val="00423093"/>
    <w:rsid w:val="004230E6"/>
    <w:rsid w:val="00423BB7"/>
    <w:rsid w:val="004242F4"/>
    <w:rsid w:val="0042557B"/>
    <w:rsid w:val="00427474"/>
    <w:rsid w:val="004325C4"/>
    <w:rsid w:val="00433700"/>
    <w:rsid w:val="00433735"/>
    <w:rsid w:val="0043396D"/>
    <w:rsid w:val="00437AE3"/>
    <w:rsid w:val="00440463"/>
    <w:rsid w:val="00441142"/>
    <w:rsid w:val="00446FA2"/>
    <w:rsid w:val="00456FD9"/>
    <w:rsid w:val="0046227C"/>
    <w:rsid w:val="0046268E"/>
    <w:rsid w:val="004627DD"/>
    <w:rsid w:val="00464639"/>
    <w:rsid w:val="0046538E"/>
    <w:rsid w:val="004662BA"/>
    <w:rsid w:val="00472E5B"/>
    <w:rsid w:val="004746D8"/>
    <w:rsid w:val="00474DF0"/>
    <w:rsid w:val="00475AD5"/>
    <w:rsid w:val="00477406"/>
    <w:rsid w:val="00477B4F"/>
    <w:rsid w:val="00481AE6"/>
    <w:rsid w:val="00482A32"/>
    <w:rsid w:val="00483B53"/>
    <w:rsid w:val="0048450F"/>
    <w:rsid w:val="0049108A"/>
    <w:rsid w:val="004911FD"/>
    <w:rsid w:val="00491211"/>
    <w:rsid w:val="00495191"/>
    <w:rsid w:val="0049528E"/>
    <w:rsid w:val="00496C36"/>
    <w:rsid w:val="0049756A"/>
    <w:rsid w:val="004A3315"/>
    <w:rsid w:val="004A4642"/>
    <w:rsid w:val="004A4EA8"/>
    <w:rsid w:val="004A6AF4"/>
    <w:rsid w:val="004A7CDA"/>
    <w:rsid w:val="004B43EE"/>
    <w:rsid w:val="004B45A7"/>
    <w:rsid w:val="004B6172"/>
    <w:rsid w:val="004C0F06"/>
    <w:rsid w:val="004C218C"/>
    <w:rsid w:val="004D003A"/>
    <w:rsid w:val="004D0C31"/>
    <w:rsid w:val="004D3BFE"/>
    <w:rsid w:val="004E0116"/>
    <w:rsid w:val="004E4863"/>
    <w:rsid w:val="004E5B58"/>
    <w:rsid w:val="004E6F17"/>
    <w:rsid w:val="004F7268"/>
    <w:rsid w:val="00501E29"/>
    <w:rsid w:val="0050269F"/>
    <w:rsid w:val="00502E08"/>
    <w:rsid w:val="00504A56"/>
    <w:rsid w:val="00506233"/>
    <w:rsid w:val="00510BBA"/>
    <w:rsid w:val="00511735"/>
    <w:rsid w:val="00515144"/>
    <w:rsid w:val="005231CA"/>
    <w:rsid w:val="00524BFE"/>
    <w:rsid w:val="00526125"/>
    <w:rsid w:val="005266C3"/>
    <w:rsid w:val="00527107"/>
    <w:rsid w:val="00531DEB"/>
    <w:rsid w:val="00532E6A"/>
    <w:rsid w:val="00535DC5"/>
    <w:rsid w:val="0054077C"/>
    <w:rsid w:val="00540EA0"/>
    <w:rsid w:val="005415E0"/>
    <w:rsid w:val="005418E5"/>
    <w:rsid w:val="00544172"/>
    <w:rsid w:val="00544731"/>
    <w:rsid w:val="00546999"/>
    <w:rsid w:val="00553428"/>
    <w:rsid w:val="00553526"/>
    <w:rsid w:val="00554F0E"/>
    <w:rsid w:val="00557105"/>
    <w:rsid w:val="00557B26"/>
    <w:rsid w:val="00563B0D"/>
    <w:rsid w:val="005809F3"/>
    <w:rsid w:val="00585BF8"/>
    <w:rsid w:val="00586247"/>
    <w:rsid w:val="005869BB"/>
    <w:rsid w:val="005A15A6"/>
    <w:rsid w:val="005A2F89"/>
    <w:rsid w:val="005A6212"/>
    <w:rsid w:val="005A6F03"/>
    <w:rsid w:val="005A72AF"/>
    <w:rsid w:val="005A781C"/>
    <w:rsid w:val="005A7ADF"/>
    <w:rsid w:val="005A7DE5"/>
    <w:rsid w:val="005B1659"/>
    <w:rsid w:val="005B478E"/>
    <w:rsid w:val="005B47A7"/>
    <w:rsid w:val="005B4E94"/>
    <w:rsid w:val="005B5837"/>
    <w:rsid w:val="005C0109"/>
    <w:rsid w:val="005C0604"/>
    <w:rsid w:val="005C0E23"/>
    <w:rsid w:val="005C3F7F"/>
    <w:rsid w:val="005C6D16"/>
    <w:rsid w:val="005D02EF"/>
    <w:rsid w:val="005D3652"/>
    <w:rsid w:val="005D5A1D"/>
    <w:rsid w:val="005D7307"/>
    <w:rsid w:val="005E238B"/>
    <w:rsid w:val="005E25D8"/>
    <w:rsid w:val="005E3780"/>
    <w:rsid w:val="005E3A48"/>
    <w:rsid w:val="005E5243"/>
    <w:rsid w:val="005E699B"/>
    <w:rsid w:val="00600B80"/>
    <w:rsid w:val="006011B5"/>
    <w:rsid w:val="00606DE2"/>
    <w:rsid w:val="00610D38"/>
    <w:rsid w:val="006129E2"/>
    <w:rsid w:val="00612EDB"/>
    <w:rsid w:val="00612FF8"/>
    <w:rsid w:val="006148CB"/>
    <w:rsid w:val="00617459"/>
    <w:rsid w:val="00620AF0"/>
    <w:rsid w:val="00620E7A"/>
    <w:rsid w:val="00621648"/>
    <w:rsid w:val="00621C55"/>
    <w:rsid w:val="00624C87"/>
    <w:rsid w:val="0063043B"/>
    <w:rsid w:val="00632C43"/>
    <w:rsid w:val="0063320D"/>
    <w:rsid w:val="0064025C"/>
    <w:rsid w:val="00642223"/>
    <w:rsid w:val="00643D30"/>
    <w:rsid w:val="0064734F"/>
    <w:rsid w:val="006521FC"/>
    <w:rsid w:val="006563A0"/>
    <w:rsid w:val="00657A7E"/>
    <w:rsid w:val="00661E1D"/>
    <w:rsid w:val="00662926"/>
    <w:rsid w:val="00665ADF"/>
    <w:rsid w:val="006704A8"/>
    <w:rsid w:val="0067114D"/>
    <w:rsid w:val="006717AD"/>
    <w:rsid w:val="006768DC"/>
    <w:rsid w:val="00677B0E"/>
    <w:rsid w:val="00680951"/>
    <w:rsid w:val="00680F83"/>
    <w:rsid w:val="00683B57"/>
    <w:rsid w:val="00686211"/>
    <w:rsid w:val="00687D25"/>
    <w:rsid w:val="00694016"/>
    <w:rsid w:val="00695F71"/>
    <w:rsid w:val="006A42CD"/>
    <w:rsid w:val="006A48D5"/>
    <w:rsid w:val="006B1D8E"/>
    <w:rsid w:val="006B4F8C"/>
    <w:rsid w:val="006C0501"/>
    <w:rsid w:val="006C6084"/>
    <w:rsid w:val="006D261B"/>
    <w:rsid w:val="006E38B1"/>
    <w:rsid w:val="006E3DA8"/>
    <w:rsid w:val="006E4B9C"/>
    <w:rsid w:val="006F0DF7"/>
    <w:rsid w:val="006F7AEB"/>
    <w:rsid w:val="006F7CDD"/>
    <w:rsid w:val="007048D7"/>
    <w:rsid w:val="007050FD"/>
    <w:rsid w:val="0070570C"/>
    <w:rsid w:val="007125A9"/>
    <w:rsid w:val="0071347F"/>
    <w:rsid w:val="00716DC8"/>
    <w:rsid w:val="00722551"/>
    <w:rsid w:val="00723092"/>
    <w:rsid w:val="00726A37"/>
    <w:rsid w:val="00740C4B"/>
    <w:rsid w:val="00740C98"/>
    <w:rsid w:val="00741790"/>
    <w:rsid w:val="00741F3B"/>
    <w:rsid w:val="00742793"/>
    <w:rsid w:val="0074416C"/>
    <w:rsid w:val="007442B4"/>
    <w:rsid w:val="00752BFA"/>
    <w:rsid w:val="0075355C"/>
    <w:rsid w:val="0075534A"/>
    <w:rsid w:val="00756027"/>
    <w:rsid w:val="00760404"/>
    <w:rsid w:val="00762B05"/>
    <w:rsid w:val="00763B15"/>
    <w:rsid w:val="00763BA3"/>
    <w:rsid w:val="00765A7D"/>
    <w:rsid w:val="00772A7F"/>
    <w:rsid w:val="00774D84"/>
    <w:rsid w:val="00777043"/>
    <w:rsid w:val="007816D5"/>
    <w:rsid w:val="00784839"/>
    <w:rsid w:val="00784D05"/>
    <w:rsid w:val="00785378"/>
    <w:rsid w:val="00790E1F"/>
    <w:rsid w:val="00795BE8"/>
    <w:rsid w:val="00796D71"/>
    <w:rsid w:val="007A4881"/>
    <w:rsid w:val="007A6318"/>
    <w:rsid w:val="007B1833"/>
    <w:rsid w:val="007B35C5"/>
    <w:rsid w:val="007B40E1"/>
    <w:rsid w:val="007B7549"/>
    <w:rsid w:val="007C528E"/>
    <w:rsid w:val="007C5955"/>
    <w:rsid w:val="007C71B4"/>
    <w:rsid w:val="007C7997"/>
    <w:rsid w:val="007D15D1"/>
    <w:rsid w:val="007D1E06"/>
    <w:rsid w:val="007D354B"/>
    <w:rsid w:val="007E0A49"/>
    <w:rsid w:val="007E296D"/>
    <w:rsid w:val="007E32A9"/>
    <w:rsid w:val="007E43CD"/>
    <w:rsid w:val="007E595E"/>
    <w:rsid w:val="007F3B2F"/>
    <w:rsid w:val="007F51E4"/>
    <w:rsid w:val="00802458"/>
    <w:rsid w:val="008061E8"/>
    <w:rsid w:val="0081032B"/>
    <w:rsid w:val="008122E4"/>
    <w:rsid w:val="00815726"/>
    <w:rsid w:val="0082161D"/>
    <w:rsid w:val="00823F0D"/>
    <w:rsid w:val="00831DF8"/>
    <w:rsid w:val="008444CE"/>
    <w:rsid w:val="0084633C"/>
    <w:rsid w:val="008506C9"/>
    <w:rsid w:val="00852EE5"/>
    <w:rsid w:val="00856071"/>
    <w:rsid w:val="00866FEB"/>
    <w:rsid w:val="00867B28"/>
    <w:rsid w:val="00872FE3"/>
    <w:rsid w:val="008745C8"/>
    <w:rsid w:val="00881C48"/>
    <w:rsid w:val="00886EE3"/>
    <w:rsid w:val="00887B34"/>
    <w:rsid w:val="00890E3A"/>
    <w:rsid w:val="00894392"/>
    <w:rsid w:val="008B08D9"/>
    <w:rsid w:val="008B42E4"/>
    <w:rsid w:val="008B58E4"/>
    <w:rsid w:val="008B63CF"/>
    <w:rsid w:val="008C4F88"/>
    <w:rsid w:val="008C7939"/>
    <w:rsid w:val="008D5E11"/>
    <w:rsid w:val="008D70F2"/>
    <w:rsid w:val="008E2244"/>
    <w:rsid w:val="008E41E3"/>
    <w:rsid w:val="008E753B"/>
    <w:rsid w:val="008F000A"/>
    <w:rsid w:val="008F187C"/>
    <w:rsid w:val="008F2968"/>
    <w:rsid w:val="008F2EE8"/>
    <w:rsid w:val="008F3418"/>
    <w:rsid w:val="008F7AA9"/>
    <w:rsid w:val="00901C68"/>
    <w:rsid w:val="00902FEA"/>
    <w:rsid w:val="00906EE8"/>
    <w:rsid w:val="00907549"/>
    <w:rsid w:val="00912ED3"/>
    <w:rsid w:val="009134EC"/>
    <w:rsid w:val="00916367"/>
    <w:rsid w:val="0092253F"/>
    <w:rsid w:val="00922E95"/>
    <w:rsid w:val="0092518E"/>
    <w:rsid w:val="00935170"/>
    <w:rsid w:val="00936678"/>
    <w:rsid w:val="00937E5C"/>
    <w:rsid w:val="00951DE6"/>
    <w:rsid w:val="00952194"/>
    <w:rsid w:val="00953220"/>
    <w:rsid w:val="00953E25"/>
    <w:rsid w:val="00956511"/>
    <w:rsid w:val="0096422C"/>
    <w:rsid w:val="00964AEB"/>
    <w:rsid w:val="00966EEA"/>
    <w:rsid w:val="00971544"/>
    <w:rsid w:val="009732B3"/>
    <w:rsid w:val="00974DEA"/>
    <w:rsid w:val="00976713"/>
    <w:rsid w:val="009915CC"/>
    <w:rsid w:val="00992D74"/>
    <w:rsid w:val="009953B7"/>
    <w:rsid w:val="00995B2E"/>
    <w:rsid w:val="00995E7B"/>
    <w:rsid w:val="009A34E6"/>
    <w:rsid w:val="009B2DB5"/>
    <w:rsid w:val="009B2EC8"/>
    <w:rsid w:val="009B371F"/>
    <w:rsid w:val="009B614B"/>
    <w:rsid w:val="009B7B95"/>
    <w:rsid w:val="009C2355"/>
    <w:rsid w:val="009C27E0"/>
    <w:rsid w:val="009C3FE4"/>
    <w:rsid w:val="009C77B9"/>
    <w:rsid w:val="009D4088"/>
    <w:rsid w:val="009D5ABE"/>
    <w:rsid w:val="009D6DF9"/>
    <w:rsid w:val="009E0AA9"/>
    <w:rsid w:val="009E1161"/>
    <w:rsid w:val="009E541E"/>
    <w:rsid w:val="009F07F0"/>
    <w:rsid w:val="009F1DA7"/>
    <w:rsid w:val="009F2177"/>
    <w:rsid w:val="009F5F6F"/>
    <w:rsid w:val="00A02D58"/>
    <w:rsid w:val="00A0390A"/>
    <w:rsid w:val="00A0674F"/>
    <w:rsid w:val="00A0721B"/>
    <w:rsid w:val="00A10420"/>
    <w:rsid w:val="00A13592"/>
    <w:rsid w:val="00A23C77"/>
    <w:rsid w:val="00A24AAD"/>
    <w:rsid w:val="00A25E2D"/>
    <w:rsid w:val="00A3270E"/>
    <w:rsid w:val="00A34981"/>
    <w:rsid w:val="00A37214"/>
    <w:rsid w:val="00A37684"/>
    <w:rsid w:val="00A40489"/>
    <w:rsid w:val="00A42082"/>
    <w:rsid w:val="00A427DC"/>
    <w:rsid w:val="00A451B0"/>
    <w:rsid w:val="00A5019C"/>
    <w:rsid w:val="00A56A16"/>
    <w:rsid w:val="00A5765A"/>
    <w:rsid w:val="00A62F48"/>
    <w:rsid w:val="00A63739"/>
    <w:rsid w:val="00A645DF"/>
    <w:rsid w:val="00A7577E"/>
    <w:rsid w:val="00A75C4D"/>
    <w:rsid w:val="00A75E5B"/>
    <w:rsid w:val="00A807EE"/>
    <w:rsid w:val="00A92935"/>
    <w:rsid w:val="00A96CC9"/>
    <w:rsid w:val="00A97B13"/>
    <w:rsid w:val="00AA266E"/>
    <w:rsid w:val="00AA3A16"/>
    <w:rsid w:val="00AB0FCF"/>
    <w:rsid w:val="00AB188F"/>
    <w:rsid w:val="00AB21E3"/>
    <w:rsid w:val="00AB2629"/>
    <w:rsid w:val="00AB6210"/>
    <w:rsid w:val="00AB6401"/>
    <w:rsid w:val="00AC36A2"/>
    <w:rsid w:val="00AC733E"/>
    <w:rsid w:val="00AE0F49"/>
    <w:rsid w:val="00AE206A"/>
    <w:rsid w:val="00AE25BB"/>
    <w:rsid w:val="00AE29B6"/>
    <w:rsid w:val="00AE30FE"/>
    <w:rsid w:val="00AE7C59"/>
    <w:rsid w:val="00AF0696"/>
    <w:rsid w:val="00AF35D1"/>
    <w:rsid w:val="00AF3986"/>
    <w:rsid w:val="00AF74CD"/>
    <w:rsid w:val="00B0033B"/>
    <w:rsid w:val="00B0308A"/>
    <w:rsid w:val="00B03AED"/>
    <w:rsid w:val="00B05DE8"/>
    <w:rsid w:val="00B1086A"/>
    <w:rsid w:val="00B21888"/>
    <w:rsid w:val="00B219C9"/>
    <w:rsid w:val="00B264BD"/>
    <w:rsid w:val="00B26BC6"/>
    <w:rsid w:val="00B34122"/>
    <w:rsid w:val="00B34447"/>
    <w:rsid w:val="00B3569F"/>
    <w:rsid w:val="00B366A6"/>
    <w:rsid w:val="00B47203"/>
    <w:rsid w:val="00B51226"/>
    <w:rsid w:val="00B51A55"/>
    <w:rsid w:val="00B554FA"/>
    <w:rsid w:val="00B63463"/>
    <w:rsid w:val="00B63615"/>
    <w:rsid w:val="00B65BAD"/>
    <w:rsid w:val="00B673EE"/>
    <w:rsid w:val="00B7197D"/>
    <w:rsid w:val="00B7292E"/>
    <w:rsid w:val="00B73BB5"/>
    <w:rsid w:val="00B74E00"/>
    <w:rsid w:val="00B836A0"/>
    <w:rsid w:val="00B845B8"/>
    <w:rsid w:val="00B85039"/>
    <w:rsid w:val="00B85A62"/>
    <w:rsid w:val="00B906EB"/>
    <w:rsid w:val="00B90B96"/>
    <w:rsid w:val="00B9258C"/>
    <w:rsid w:val="00B94053"/>
    <w:rsid w:val="00BA17A7"/>
    <w:rsid w:val="00BA51D5"/>
    <w:rsid w:val="00BA5B32"/>
    <w:rsid w:val="00BB1976"/>
    <w:rsid w:val="00BB35E6"/>
    <w:rsid w:val="00BB65A5"/>
    <w:rsid w:val="00BC7692"/>
    <w:rsid w:val="00BC7CDB"/>
    <w:rsid w:val="00BD0B71"/>
    <w:rsid w:val="00BD0DBE"/>
    <w:rsid w:val="00BD1A13"/>
    <w:rsid w:val="00BD38D0"/>
    <w:rsid w:val="00BE15A3"/>
    <w:rsid w:val="00BE3150"/>
    <w:rsid w:val="00BE44B0"/>
    <w:rsid w:val="00BE629C"/>
    <w:rsid w:val="00BF031D"/>
    <w:rsid w:val="00BF0611"/>
    <w:rsid w:val="00BF3113"/>
    <w:rsid w:val="00C04BBD"/>
    <w:rsid w:val="00C050DA"/>
    <w:rsid w:val="00C05108"/>
    <w:rsid w:val="00C11D4C"/>
    <w:rsid w:val="00C14E05"/>
    <w:rsid w:val="00C17A96"/>
    <w:rsid w:val="00C17B76"/>
    <w:rsid w:val="00C220A5"/>
    <w:rsid w:val="00C26CBD"/>
    <w:rsid w:val="00C3341C"/>
    <w:rsid w:val="00C405C8"/>
    <w:rsid w:val="00C405D2"/>
    <w:rsid w:val="00C4380E"/>
    <w:rsid w:val="00C43CB7"/>
    <w:rsid w:val="00C510C0"/>
    <w:rsid w:val="00C57253"/>
    <w:rsid w:val="00C61230"/>
    <w:rsid w:val="00C61799"/>
    <w:rsid w:val="00C6576E"/>
    <w:rsid w:val="00C6595F"/>
    <w:rsid w:val="00C66ADA"/>
    <w:rsid w:val="00C77A55"/>
    <w:rsid w:val="00C80456"/>
    <w:rsid w:val="00C82B45"/>
    <w:rsid w:val="00C83588"/>
    <w:rsid w:val="00C91070"/>
    <w:rsid w:val="00C910D0"/>
    <w:rsid w:val="00C9227B"/>
    <w:rsid w:val="00C92B15"/>
    <w:rsid w:val="00C93DAF"/>
    <w:rsid w:val="00C964D4"/>
    <w:rsid w:val="00C96E62"/>
    <w:rsid w:val="00CA112C"/>
    <w:rsid w:val="00CA1616"/>
    <w:rsid w:val="00CA282E"/>
    <w:rsid w:val="00CA4F82"/>
    <w:rsid w:val="00CA5265"/>
    <w:rsid w:val="00CA5C72"/>
    <w:rsid w:val="00CB1415"/>
    <w:rsid w:val="00CB17AB"/>
    <w:rsid w:val="00CB3453"/>
    <w:rsid w:val="00CB7C99"/>
    <w:rsid w:val="00CC042A"/>
    <w:rsid w:val="00CC1925"/>
    <w:rsid w:val="00CC5D2B"/>
    <w:rsid w:val="00CD5B46"/>
    <w:rsid w:val="00CE0EC8"/>
    <w:rsid w:val="00CE2347"/>
    <w:rsid w:val="00CE3BD7"/>
    <w:rsid w:val="00CE431C"/>
    <w:rsid w:val="00CE5B78"/>
    <w:rsid w:val="00CF0BB8"/>
    <w:rsid w:val="00CF1F9B"/>
    <w:rsid w:val="00CF2710"/>
    <w:rsid w:val="00CF2D4B"/>
    <w:rsid w:val="00D0226C"/>
    <w:rsid w:val="00D06CD7"/>
    <w:rsid w:val="00D112D9"/>
    <w:rsid w:val="00D120D3"/>
    <w:rsid w:val="00D12C6E"/>
    <w:rsid w:val="00D131BD"/>
    <w:rsid w:val="00D136C6"/>
    <w:rsid w:val="00D13CE9"/>
    <w:rsid w:val="00D152D4"/>
    <w:rsid w:val="00D225A1"/>
    <w:rsid w:val="00D24478"/>
    <w:rsid w:val="00D3017B"/>
    <w:rsid w:val="00D32D4C"/>
    <w:rsid w:val="00D36220"/>
    <w:rsid w:val="00D37331"/>
    <w:rsid w:val="00D40603"/>
    <w:rsid w:val="00D441CB"/>
    <w:rsid w:val="00D44AF1"/>
    <w:rsid w:val="00D44D89"/>
    <w:rsid w:val="00D51D30"/>
    <w:rsid w:val="00D53939"/>
    <w:rsid w:val="00D53D98"/>
    <w:rsid w:val="00D56EF2"/>
    <w:rsid w:val="00D60E21"/>
    <w:rsid w:val="00D72254"/>
    <w:rsid w:val="00D7666B"/>
    <w:rsid w:val="00D8235C"/>
    <w:rsid w:val="00D82518"/>
    <w:rsid w:val="00D902EC"/>
    <w:rsid w:val="00D93BBC"/>
    <w:rsid w:val="00D976DA"/>
    <w:rsid w:val="00DA0B75"/>
    <w:rsid w:val="00DA14A0"/>
    <w:rsid w:val="00DA14C1"/>
    <w:rsid w:val="00DA1E99"/>
    <w:rsid w:val="00DA3283"/>
    <w:rsid w:val="00DA3368"/>
    <w:rsid w:val="00DA4752"/>
    <w:rsid w:val="00DA52F8"/>
    <w:rsid w:val="00DB038F"/>
    <w:rsid w:val="00DB25C9"/>
    <w:rsid w:val="00DB4176"/>
    <w:rsid w:val="00DC168D"/>
    <w:rsid w:val="00DC1B6B"/>
    <w:rsid w:val="00DC35C1"/>
    <w:rsid w:val="00DC71BD"/>
    <w:rsid w:val="00DD2DD2"/>
    <w:rsid w:val="00DD32A1"/>
    <w:rsid w:val="00DD5BE6"/>
    <w:rsid w:val="00DD5CB8"/>
    <w:rsid w:val="00DE047E"/>
    <w:rsid w:val="00DE1704"/>
    <w:rsid w:val="00DF32F4"/>
    <w:rsid w:val="00DF4A45"/>
    <w:rsid w:val="00E035D9"/>
    <w:rsid w:val="00E03BC7"/>
    <w:rsid w:val="00E071CB"/>
    <w:rsid w:val="00E103DE"/>
    <w:rsid w:val="00E125CA"/>
    <w:rsid w:val="00E126A4"/>
    <w:rsid w:val="00E132A2"/>
    <w:rsid w:val="00E1738C"/>
    <w:rsid w:val="00E30622"/>
    <w:rsid w:val="00E33D36"/>
    <w:rsid w:val="00E378D9"/>
    <w:rsid w:val="00E41804"/>
    <w:rsid w:val="00E41C4F"/>
    <w:rsid w:val="00E43E22"/>
    <w:rsid w:val="00E45250"/>
    <w:rsid w:val="00E4612C"/>
    <w:rsid w:val="00E5036C"/>
    <w:rsid w:val="00E5235A"/>
    <w:rsid w:val="00E5438A"/>
    <w:rsid w:val="00E566C7"/>
    <w:rsid w:val="00E57E30"/>
    <w:rsid w:val="00E60232"/>
    <w:rsid w:val="00E6447C"/>
    <w:rsid w:val="00E66134"/>
    <w:rsid w:val="00E6684B"/>
    <w:rsid w:val="00E67541"/>
    <w:rsid w:val="00E753B5"/>
    <w:rsid w:val="00E77330"/>
    <w:rsid w:val="00E92298"/>
    <w:rsid w:val="00E93C61"/>
    <w:rsid w:val="00EA5591"/>
    <w:rsid w:val="00EA5900"/>
    <w:rsid w:val="00EA64CA"/>
    <w:rsid w:val="00EA678F"/>
    <w:rsid w:val="00EB2AFA"/>
    <w:rsid w:val="00EB39A0"/>
    <w:rsid w:val="00EB43CA"/>
    <w:rsid w:val="00EB4CD2"/>
    <w:rsid w:val="00EB5CB0"/>
    <w:rsid w:val="00EB6257"/>
    <w:rsid w:val="00EB69ED"/>
    <w:rsid w:val="00EC0C93"/>
    <w:rsid w:val="00EC6D98"/>
    <w:rsid w:val="00EC70F9"/>
    <w:rsid w:val="00ED145A"/>
    <w:rsid w:val="00EE06ED"/>
    <w:rsid w:val="00EE140D"/>
    <w:rsid w:val="00EE1677"/>
    <w:rsid w:val="00EE1FE2"/>
    <w:rsid w:val="00EE3988"/>
    <w:rsid w:val="00F03D35"/>
    <w:rsid w:val="00F05C69"/>
    <w:rsid w:val="00F066B6"/>
    <w:rsid w:val="00F13291"/>
    <w:rsid w:val="00F13F7D"/>
    <w:rsid w:val="00F147BF"/>
    <w:rsid w:val="00F268F7"/>
    <w:rsid w:val="00F27889"/>
    <w:rsid w:val="00F30896"/>
    <w:rsid w:val="00F30EAA"/>
    <w:rsid w:val="00F34BFE"/>
    <w:rsid w:val="00F36E35"/>
    <w:rsid w:val="00F40609"/>
    <w:rsid w:val="00F41750"/>
    <w:rsid w:val="00F47227"/>
    <w:rsid w:val="00F52A1C"/>
    <w:rsid w:val="00F532F5"/>
    <w:rsid w:val="00F614C8"/>
    <w:rsid w:val="00F63694"/>
    <w:rsid w:val="00F638BB"/>
    <w:rsid w:val="00F640E4"/>
    <w:rsid w:val="00F64D92"/>
    <w:rsid w:val="00F71CAA"/>
    <w:rsid w:val="00F81951"/>
    <w:rsid w:val="00F845A7"/>
    <w:rsid w:val="00F85D7A"/>
    <w:rsid w:val="00F87B37"/>
    <w:rsid w:val="00F94354"/>
    <w:rsid w:val="00F94382"/>
    <w:rsid w:val="00F952AC"/>
    <w:rsid w:val="00F9564F"/>
    <w:rsid w:val="00F9731C"/>
    <w:rsid w:val="00FA3386"/>
    <w:rsid w:val="00FA53FC"/>
    <w:rsid w:val="00FA6ADF"/>
    <w:rsid w:val="00FB1F37"/>
    <w:rsid w:val="00FB2C4A"/>
    <w:rsid w:val="00FB51BD"/>
    <w:rsid w:val="00FC25EF"/>
    <w:rsid w:val="00FC7626"/>
    <w:rsid w:val="00FD18AB"/>
    <w:rsid w:val="00FD74B9"/>
    <w:rsid w:val="00FE0828"/>
    <w:rsid w:val="00FE5D9B"/>
    <w:rsid w:val="00FF1646"/>
    <w:rsid w:val="00FF5C7C"/>
    <w:rsid w:val="00FF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7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C8"/>
    <w:pPr>
      <w:jc w:val="both"/>
    </w:pPr>
  </w:style>
  <w:style w:type="paragraph" w:styleId="Heading1">
    <w:name w:val="heading 1"/>
    <w:basedOn w:val="Normal"/>
    <w:next w:val="Normal"/>
    <w:link w:val="Heading1Char"/>
    <w:uiPriority w:val="9"/>
    <w:qFormat/>
    <w:rsid w:val="00E035D9"/>
    <w:pPr>
      <w:keepNext/>
      <w:keepLines/>
      <w:numPr>
        <w:numId w:val="3"/>
      </w:numPr>
      <w:spacing w:before="840" w:after="480" w:line="240" w:lineRule="auto"/>
      <w:outlineLvl w:val="0"/>
    </w:pPr>
    <w:rPr>
      <w:rFonts w:eastAsiaTheme="majorEastAsia" w:cstheme="majorBidi"/>
      <w:b/>
      <w:bCs/>
      <w:color w:val="0070C0"/>
      <w:sz w:val="48"/>
      <w:szCs w:val="28"/>
    </w:rPr>
  </w:style>
  <w:style w:type="paragraph" w:styleId="Heading2">
    <w:name w:val="heading 2"/>
    <w:basedOn w:val="Normal"/>
    <w:next w:val="Normal"/>
    <w:link w:val="Heading2Char"/>
    <w:uiPriority w:val="9"/>
    <w:unhideWhenUsed/>
    <w:qFormat/>
    <w:rsid w:val="00E035D9"/>
    <w:pPr>
      <w:keepNext/>
      <w:keepLines/>
      <w:numPr>
        <w:ilvl w:val="1"/>
        <w:numId w:val="3"/>
      </w:numPr>
      <w:spacing w:before="560" w:after="360" w:line="240" w:lineRule="auto"/>
      <w:outlineLvl w:val="1"/>
    </w:pPr>
    <w:rPr>
      <w:rFonts w:eastAsiaTheme="majorEastAsia" w:cstheme="majorBidi"/>
      <w:b/>
      <w:bCs/>
      <w:color w:val="4F81BD" w:themeColor="accent1"/>
      <w:sz w:val="36"/>
      <w:szCs w:val="26"/>
    </w:rPr>
  </w:style>
  <w:style w:type="paragraph" w:styleId="Heading3">
    <w:name w:val="heading 3"/>
    <w:basedOn w:val="Normal"/>
    <w:next w:val="Normal"/>
    <w:link w:val="Heading3Char"/>
    <w:uiPriority w:val="9"/>
    <w:unhideWhenUsed/>
    <w:qFormat/>
    <w:rsid w:val="00E035D9"/>
    <w:pPr>
      <w:keepNext/>
      <w:keepLines/>
      <w:numPr>
        <w:ilvl w:val="2"/>
        <w:numId w:val="3"/>
      </w:numPr>
      <w:spacing w:before="200" w:after="120"/>
      <w:outlineLvl w:val="2"/>
    </w:pPr>
    <w:rPr>
      <w:rFonts w:eastAsiaTheme="majorEastAsia" w:cstheme="majorBidi"/>
      <w:b/>
      <w:bCs/>
      <w:color w:val="4F81BD" w:themeColor="accent1"/>
      <w:sz w:val="28"/>
    </w:rPr>
  </w:style>
  <w:style w:type="paragraph" w:styleId="Heading4">
    <w:name w:val="heading 4"/>
    <w:basedOn w:val="Normal"/>
    <w:next w:val="Normal"/>
    <w:link w:val="Heading4Char"/>
    <w:uiPriority w:val="9"/>
    <w:unhideWhenUsed/>
    <w:qFormat/>
    <w:rsid w:val="008D5E1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5E1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D5E1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D5E1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5E11"/>
    <w:pPr>
      <w:keepNext/>
      <w:keepLines/>
      <w:numPr>
        <w:ilvl w:val="7"/>
        <w:numId w:val="3"/>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D5E1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5D9"/>
    <w:rPr>
      <w:rFonts w:eastAsiaTheme="majorEastAsia" w:cstheme="majorBidi"/>
      <w:b/>
      <w:bCs/>
      <w:color w:val="0070C0"/>
      <w:sz w:val="48"/>
      <w:szCs w:val="28"/>
    </w:rPr>
  </w:style>
  <w:style w:type="character" w:customStyle="1" w:styleId="Heading2Char">
    <w:name w:val="Heading 2 Char"/>
    <w:basedOn w:val="DefaultParagraphFont"/>
    <w:link w:val="Heading2"/>
    <w:uiPriority w:val="9"/>
    <w:rsid w:val="00E035D9"/>
    <w:rPr>
      <w:rFonts w:eastAsiaTheme="majorEastAsia" w:cstheme="majorBidi"/>
      <w:b/>
      <w:bCs/>
      <w:color w:val="4F81BD" w:themeColor="accent1"/>
      <w:sz w:val="36"/>
      <w:szCs w:val="26"/>
    </w:rPr>
  </w:style>
  <w:style w:type="character" w:customStyle="1" w:styleId="Heading3Char">
    <w:name w:val="Heading 3 Char"/>
    <w:basedOn w:val="DefaultParagraphFont"/>
    <w:link w:val="Heading3"/>
    <w:uiPriority w:val="9"/>
    <w:rsid w:val="00E035D9"/>
    <w:rPr>
      <w:rFonts w:eastAsiaTheme="majorEastAsia" w:cstheme="majorBidi"/>
      <w:b/>
      <w:bCs/>
      <w:color w:val="4F81BD" w:themeColor="accent1"/>
      <w:sz w:val="28"/>
    </w:rPr>
  </w:style>
  <w:style w:type="character" w:customStyle="1" w:styleId="Heading4Char">
    <w:name w:val="Heading 4 Char"/>
    <w:basedOn w:val="DefaultParagraphFont"/>
    <w:link w:val="Heading4"/>
    <w:uiPriority w:val="9"/>
    <w:semiHidden/>
    <w:rsid w:val="008D5E1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D5E1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D5E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D5E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5E1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D5E1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D5E11"/>
    <w:pPr>
      <w:spacing w:line="240" w:lineRule="auto"/>
    </w:pPr>
    <w:rPr>
      <w:b/>
      <w:bCs/>
      <w:color w:val="4F81BD" w:themeColor="accent1"/>
      <w:sz w:val="18"/>
      <w:szCs w:val="18"/>
    </w:rPr>
  </w:style>
  <w:style w:type="paragraph" w:styleId="Title">
    <w:name w:val="Title"/>
    <w:basedOn w:val="Normal"/>
    <w:next w:val="Normal"/>
    <w:link w:val="TitleChar"/>
    <w:uiPriority w:val="10"/>
    <w:qFormat/>
    <w:rsid w:val="008D5E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5E1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5E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5E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D5E11"/>
    <w:rPr>
      <w:b/>
      <w:bCs/>
    </w:rPr>
  </w:style>
  <w:style w:type="character" w:styleId="Emphasis">
    <w:name w:val="Emphasis"/>
    <w:basedOn w:val="DefaultParagraphFont"/>
    <w:uiPriority w:val="20"/>
    <w:qFormat/>
    <w:rsid w:val="008D5E11"/>
    <w:rPr>
      <w:i/>
      <w:iCs/>
    </w:rPr>
  </w:style>
  <w:style w:type="paragraph" w:styleId="NoSpacing">
    <w:name w:val="No Spacing"/>
    <w:link w:val="NoSpacingChar"/>
    <w:uiPriority w:val="1"/>
    <w:qFormat/>
    <w:rsid w:val="008D5E11"/>
    <w:pPr>
      <w:spacing w:after="0" w:line="240" w:lineRule="auto"/>
    </w:pPr>
  </w:style>
  <w:style w:type="paragraph" w:styleId="ListParagraph">
    <w:name w:val="List Paragraph"/>
    <w:basedOn w:val="Normal"/>
    <w:uiPriority w:val="34"/>
    <w:qFormat/>
    <w:rsid w:val="008D5E11"/>
    <w:pPr>
      <w:ind w:left="720"/>
      <w:contextualSpacing/>
    </w:pPr>
  </w:style>
  <w:style w:type="paragraph" w:styleId="Quote">
    <w:name w:val="Quote"/>
    <w:basedOn w:val="Normal"/>
    <w:next w:val="Normal"/>
    <w:link w:val="QuoteChar"/>
    <w:uiPriority w:val="29"/>
    <w:qFormat/>
    <w:rsid w:val="008D5E11"/>
    <w:rPr>
      <w:i/>
      <w:iCs/>
      <w:color w:val="000000" w:themeColor="text1"/>
    </w:rPr>
  </w:style>
  <w:style w:type="character" w:customStyle="1" w:styleId="QuoteChar">
    <w:name w:val="Quote Char"/>
    <w:basedOn w:val="DefaultParagraphFont"/>
    <w:link w:val="Quote"/>
    <w:uiPriority w:val="29"/>
    <w:rsid w:val="008D5E11"/>
    <w:rPr>
      <w:i/>
      <w:iCs/>
      <w:color w:val="000000" w:themeColor="text1"/>
    </w:rPr>
  </w:style>
  <w:style w:type="paragraph" w:styleId="IntenseQuote">
    <w:name w:val="Intense Quote"/>
    <w:basedOn w:val="Normal"/>
    <w:next w:val="Normal"/>
    <w:link w:val="IntenseQuoteChar"/>
    <w:uiPriority w:val="30"/>
    <w:qFormat/>
    <w:rsid w:val="008D5E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D5E11"/>
    <w:rPr>
      <w:b/>
      <w:bCs/>
      <w:i/>
      <w:iCs/>
      <w:color w:val="4F81BD" w:themeColor="accent1"/>
    </w:rPr>
  </w:style>
  <w:style w:type="character" w:styleId="SubtleEmphasis">
    <w:name w:val="Subtle Emphasis"/>
    <w:basedOn w:val="DefaultParagraphFont"/>
    <w:uiPriority w:val="19"/>
    <w:qFormat/>
    <w:rsid w:val="008D5E11"/>
    <w:rPr>
      <w:i/>
      <w:iCs/>
      <w:color w:val="808080" w:themeColor="text1" w:themeTint="7F"/>
    </w:rPr>
  </w:style>
  <w:style w:type="character" w:styleId="IntenseEmphasis">
    <w:name w:val="Intense Emphasis"/>
    <w:basedOn w:val="DefaultParagraphFont"/>
    <w:uiPriority w:val="21"/>
    <w:qFormat/>
    <w:rsid w:val="00E035D9"/>
    <w:rPr>
      <w:rFonts w:asciiTheme="minorHAnsi" w:hAnsiTheme="minorHAnsi"/>
      <w:b/>
      <w:bCs/>
      <w:i/>
      <w:iCs/>
      <w:color w:val="0070C0"/>
      <w:sz w:val="22"/>
    </w:rPr>
  </w:style>
  <w:style w:type="character" w:styleId="SubtleReference">
    <w:name w:val="Subtle Reference"/>
    <w:basedOn w:val="DefaultParagraphFont"/>
    <w:uiPriority w:val="31"/>
    <w:qFormat/>
    <w:rsid w:val="008D5E11"/>
    <w:rPr>
      <w:smallCaps/>
      <w:color w:val="C0504D" w:themeColor="accent2"/>
      <w:u w:val="single"/>
    </w:rPr>
  </w:style>
  <w:style w:type="character" w:styleId="IntenseReference">
    <w:name w:val="Intense Reference"/>
    <w:basedOn w:val="DefaultParagraphFont"/>
    <w:uiPriority w:val="32"/>
    <w:qFormat/>
    <w:rsid w:val="008D5E11"/>
    <w:rPr>
      <w:b/>
      <w:bCs/>
      <w:smallCaps/>
      <w:color w:val="C0504D" w:themeColor="accent2"/>
      <w:spacing w:val="5"/>
      <w:u w:val="single"/>
    </w:rPr>
  </w:style>
  <w:style w:type="character" w:styleId="BookTitle">
    <w:name w:val="Book Title"/>
    <w:basedOn w:val="DefaultParagraphFont"/>
    <w:uiPriority w:val="33"/>
    <w:qFormat/>
    <w:rsid w:val="008D5E11"/>
    <w:rPr>
      <w:b/>
      <w:bCs/>
      <w:smallCaps/>
      <w:spacing w:val="5"/>
    </w:rPr>
  </w:style>
  <w:style w:type="paragraph" w:styleId="TOCHeading">
    <w:name w:val="TOC Heading"/>
    <w:basedOn w:val="Heading1"/>
    <w:next w:val="Normal"/>
    <w:uiPriority w:val="39"/>
    <w:semiHidden/>
    <w:unhideWhenUsed/>
    <w:qFormat/>
    <w:rsid w:val="008D5E11"/>
    <w:pPr>
      <w:outlineLvl w:val="9"/>
    </w:pPr>
  </w:style>
  <w:style w:type="character" w:customStyle="1" w:styleId="NoSpacingChar">
    <w:name w:val="No Spacing Char"/>
    <w:basedOn w:val="DefaultParagraphFont"/>
    <w:link w:val="NoSpacing"/>
    <w:uiPriority w:val="1"/>
    <w:rsid w:val="00E43E22"/>
  </w:style>
  <w:style w:type="paragraph" w:styleId="BalloonText">
    <w:name w:val="Balloon Text"/>
    <w:basedOn w:val="Normal"/>
    <w:link w:val="BalloonTextChar"/>
    <w:uiPriority w:val="99"/>
    <w:semiHidden/>
    <w:unhideWhenUsed/>
    <w:rsid w:val="00E4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E22"/>
    <w:rPr>
      <w:rFonts w:ascii="Tahoma" w:hAnsi="Tahoma" w:cs="Tahoma"/>
      <w:sz w:val="16"/>
      <w:szCs w:val="16"/>
    </w:rPr>
  </w:style>
  <w:style w:type="paragraph" w:styleId="Header">
    <w:name w:val="header"/>
    <w:basedOn w:val="Normal"/>
    <w:link w:val="HeaderChar"/>
    <w:uiPriority w:val="99"/>
    <w:unhideWhenUsed/>
    <w:rsid w:val="008D5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E11"/>
    <w:rPr>
      <w:sz w:val="20"/>
      <w:szCs w:val="20"/>
    </w:rPr>
  </w:style>
  <w:style w:type="paragraph" w:styleId="Footer">
    <w:name w:val="footer"/>
    <w:basedOn w:val="Normal"/>
    <w:link w:val="FooterChar"/>
    <w:uiPriority w:val="99"/>
    <w:unhideWhenUsed/>
    <w:rsid w:val="008D5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E11"/>
    <w:rPr>
      <w:sz w:val="20"/>
      <w:szCs w:val="20"/>
    </w:rPr>
  </w:style>
  <w:style w:type="paragraph" w:styleId="TOC2">
    <w:name w:val="toc 2"/>
    <w:basedOn w:val="Normal"/>
    <w:next w:val="Normal"/>
    <w:autoRedefine/>
    <w:uiPriority w:val="39"/>
    <w:unhideWhenUsed/>
    <w:rsid w:val="00F85D7A"/>
    <w:pPr>
      <w:spacing w:after="100"/>
      <w:ind w:left="220"/>
    </w:pPr>
  </w:style>
  <w:style w:type="paragraph" w:styleId="TOC3">
    <w:name w:val="toc 3"/>
    <w:basedOn w:val="Normal"/>
    <w:next w:val="Normal"/>
    <w:autoRedefine/>
    <w:uiPriority w:val="39"/>
    <w:unhideWhenUsed/>
    <w:rsid w:val="00F85D7A"/>
    <w:pPr>
      <w:spacing w:after="100"/>
      <w:ind w:left="440"/>
    </w:pPr>
  </w:style>
  <w:style w:type="character" w:styleId="Hyperlink">
    <w:name w:val="Hyperlink"/>
    <w:basedOn w:val="DefaultParagraphFont"/>
    <w:uiPriority w:val="99"/>
    <w:unhideWhenUsed/>
    <w:rsid w:val="00F85D7A"/>
    <w:rPr>
      <w:color w:val="0000FF" w:themeColor="hyperlink"/>
      <w:u w:val="single"/>
    </w:rPr>
  </w:style>
  <w:style w:type="paragraph" w:styleId="TOC1">
    <w:name w:val="toc 1"/>
    <w:basedOn w:val="Normal"/>
    <w:next w:val="Normal"/>
    <w:autoRedefine/>
    <w:uiPriority w:val="39"/>
    <w:unhideWhenUsed/>
    <w:rsid w:val="00C220A5"/>
    <w:pPr>
      <w:tabs>
        <w:tab w:val="left" w:pos="440"/>
        <w:tab w:val="right" w:leader="dot" w:pos="9016"/>
      </w:tabs>
      <w:spacing w:after="100"/>
    </w:pPr>
    <w:rPr>
      <w:rFonts w:asciiTheme="majorHAnsi" w:hAnsiTheme="majorHAnsi"/>
      <w:lang w:val="en-US"/>
    </w:rPr>
  </w:style>
  <w:style w:type="table" w:styleId="TableGrid">
    <w:name w:val="Table Grid"/>
    <w:basedOn w:val="TableNormal"/>
    <w:uiPriority w:val="59"/>
    <w:rsid w:val="00AF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F398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AF398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AF398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496C3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632C4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semiHidden/>
    <w:unhideWhenUsed/>
    <w:rsid w:val="00EE1677"/>
    <w:pPr>
      <w:spacing w:after="0" w:line="240" w:lineRule="auto"/>
    </w:pPr>
    <w:rPr>
      <w:sz w:val="20"/>
      <w:szCs w:val="20"/>
    </w:rPr>
  </w:style>
  <w:style w:type="character" w:customStyle="1" w:styleId="FootnoteTextChar">
    <w:name w:val="Footnote Text Char"/>
    <w:basedOn w:val="DefaultParagraphFont"/>
    <w:link w:val="FootnoteText"/>
    <w:semiHidden/>
    <w:rsid w:val="00EE1677"/>
    <w:rPr>
      <w:sz w:val="20"/>
      <w:szCs w:val="20"/>
    </w:rPr>
  </w:style>
  <w:style w:type="character" w:styleId="FootnoteReference">
    <w:name w:val="footnote reference"/>
    <w:basedOn w:val="DefaultParagraphFont"/>
    <w:semiHidden/>
    <w:unhideWhenUsed/>
    <w:rsid w:val="00EE1677"/>
    <w:rPr>
      <w:vertAlign w:val="superscript"/>
    </w:rPr>
  </w:style>
  <w:style w:type="table" w:styleId="LightGrid-Accent1">
    <w:name w:val="Light Grid Accent 1"/>
    <w:basedOn w:val="TableNormal"/>
    <w:uiPriority w:val="62"/>
    <w:rsid w:val="009A34E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5A2F89"/>
    <w:rPr>
      <w:sz w:val="16"/>
      <w:szCs w:val="16"/>
    </w:rPr>
  </w:style>
  <w:style w:type="paragraph" w:styleId="CommentText">
    <w:name w:val="annotation text"/>
    <w:basedOn w:val="Normal"/>
    <w:link w:val="CommentTextChar"/>
    <w:uiPriority w:val="99"/>
    <w:semiHidden/>
    <w:unhideWhenUsed/>
    <w:rsid w:val="005A2F89"/>
    <w:pPr>
      <w:spacing w:line="240" w:lineRule="auto"/>
    </w:pPr>
    <w:rPr>
      <w:sz w:val="20"/>
      <w:szCs w:val="20"/>
    </w:rPr>
  </w:style>
  <w:style w:type="character" w:customStyle="1" w:styleId="CommentTextChar">
    <w:name w:val="Comment Text Char"/>
    <w:basedOn w:val="DefaultParagraphFont"/>
    <w:link w:val="CommentText"/>
    <w:uiPriority w:val="99"/>
    <w:semiHidden/>
    <w:rsid w:val="005A2F89"/>
    <w:rPr>
      <w:sz w:val="20"/>
      <w:szCs w:val="20"/>
    </w:rPr>
  </w:style>
  <w:style w:type="paragraph" w:styleId="CommentSubject">
    <w:name w:val="annotation subject"/>
    <w:basedOn w:val="CommentText"/>
    <w:next w:val="CommentText"/>
    <w:link w:val="CommentSubjectChar"/>
    <w:uiPriority w:val="99"/>
    <w:semiHidden/>
    <w:unhideWhenUsed/>
    <w:rsid w:val="005A2F89"/>
    <w:rPr>
      <w:b/>
      <w:bCs/>
    </w:rPr>
  </w:style>
  <w:style w:type="character" w:customStyle="1" w:styleId="CommentSubjectChar">
    <w:name w:val="Comment Subject Char"/>
    <w:basedOn w:val="CommentTextChar"/>
    <w:link w:val="CommentSubject"/>
    <w:uiPriority w:val="99"/>
    <w:semiHidden/>
    <w:rsid w:val="005A2F89"/>
    <w:rPr>
      <w:b/>
      <w:bCs/>
      <w:sz w:val="20"/>
      <w:szCs w:val="20"/>
    </w:rPr>
  </w:style>
  <w:style w:type="character" w:styleId="FollowedHyperlink">
    <w:name w:val="FollowedHyperlink"/>
    <w:basedOn w:val="DefaultParagraphFont"/>
    <w:uiPriority w:val="99"/>
    <w:semiHidden/>
    <w:unhideWhenUsed/>
    <w:rsid w:val="0043396D"/>
    <w:rPr>
      <w:color w:val="800080" w:themeColor="followedHyperlink"/>
      <w:u w:val="single"/>
    </w:rPr>
  </w:style>
  <w:style w:type="paragraph" w:styleId="Revision">
    <w:name w:val="Revision"/>
    <w:hidden/>
    <w:uiPriority w:val="99"/>
    <w:semiHidden/>
    <w:rsid w:val="00CE2347"/>
    <w:pPr>
      <w:spacing w:after="0" w:line="240" w:lineRule="auto"/>
    </w:pPr>
  </w:style>
  <w:style w:type="paragraph" w:styleId="TOC4">
    <w:name w:val="toc 4"/>
    <w:basedOn w:val="Normal"/>
    <w:next w:val="Normal"/>
    <w:autoRedefine/>
    <w:uiPriority w:val="39"/>
    <w:unhideWhenUsed/>
    <w:rsid w:val="005E3780"/>
    <w:pPr>
      <w:spacing w:after="100"/>
      <w:ind w:left="660"/>
    </w:pPr>
    <w:rPr>
      <w:lang w:eastAsia="en-GB"/>
    </w:rPr>
  </w:style>
  <w:style w:type="paragraph" w:styleId="TOC5">
    <w:name w:val="toc 5"/>
    <w:basedOn w:val="Normal"/>
    <w:next w:val="Normal"/>
    <w:autoRedefine/>
    <w:uiPriority w:val="39"/>
    <w:unhideWhenUsed/>
    <w:rsid w:val="005E3780"/>
    <w:pPr>
      <w:spacing w:after="100"/>
      <w:ind w:left="880"/>
    </w:pPr>
    <w:rPr>
      <w:lang w:eastAsia="en-GB"/>
    </w:rPr>
  </w:style>
  <w:style w:type="paragraph" w:styleId="TOC6">
    <w:name w:val="toc 6"/>
    <w:basedOn w:val="Normal"/>
    <w:next w:val="Normal"/>
    <w:autoRedefine/>
    <w:uiPriority w:val="39"/>
    <w:unhideWhenUsed/>
    <w:rsid w:val="005E3780"/>
    <w:pPr>
      <w:spacing w:after="100"/>
      <w:ind w:left="1100"/>
    </w:pPr>
    <w:rPr>
      <w:lang w:eastAsia="en-GB"/>
    </w:rPr>
  </w:style>
  <w:style w:type="paragraph" w:styleId="TOC7">
    <w:name w:val="toc 7"/>
    <w:basedOn w:val="Normal"/>
    <w:next w:val="Normal"/>
    <w:autoRedefine/>
    <w:uiPriority w:val="39"/>
    <w:unhideWhenUsed/>
    <w:rsid w:val="005E3780"/>
    <w:pPr>
      <w:spacing w:after="100"/>
      <w:ind w:left="1320"/>
    </w:pPr>
    <w:rPr>
      <w:lang w:eastAsia="en-GB"/>
    </w:rPr>
  </w:style>
  <w:style w:type="paragraph" w:styleId="TOC8">
    <w:name w:val="toc 8"/>
    <w:basedOn w:val="Normal"/>
    <w:next w:val="Normal"/>
    <w:autoRedefine/>
    <w:uiPriority w:val="39"/>
    <w:unhideWhenUsed/>
    <w:rsid w:val="005E3780"/>
    <w:pPr>
      <w:spacing w:after="100"/>
      <w:ind w:left="1540"/>
    </w:pPr>
    <w:rPr>
      <w:lang w:eastAsia="en-GB"/>
    </w:rPr>
  </w:style>
  <w:style w:type="paragraph" w:styleId="TOC9">
    <w:name w:val="toc 9"/>
    <w:basedOn w:val="Normal"/>
    <w:next w:val="Normal"/>
    <w:autoRedefine/>
    <w:uiPriority w:val="39"/>
    <w:unhideWhenUsed/>
    <w:rsid w:val="005E3780"/>
    <w:pPr>
      <w:spacing w:after="100"/>
      <w:ind w:left="1760"/>
    </w:pPr>
    <w:rPr>
      <w:lang w:eastAsia="en-GB"/>
    </w:rPr>
  </w:style>
  <w:style w:type="table" w:customStyle="1" w:styleId="GridTable5Dark-Accent11">
    <w:name w:val="Grid Table 5 Dark - Accent 11"/>
    <w:basedOn w:val="TableNormal"/>
    <w:uiPriority w:val="50"/>
    <w:rsid w:val="007C79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C8"/>
    <w:pPr>
      <w:jc w:val="both"/>
    </w:pPr>
  </w:style>
  <w:style w:type="paragraph" w:styleId="Heading1">
    <w:name w:val="heading 1"/>
    <w:basedOn w:val="Normal"/>
    <w:next w:val="Normal"/>
    <w:link w:val="Heading1Char"/>
    <w:uiPriority w:val="9"/>
    <w:qFormat/>
    <w:rsid w:val="00E035D9"/>
    <w:pPr>
      <w:keepNext/>
      <w:keepLines/>
      <w:numPr>
        <w:numId w:val="3"/>
      </w:numPr>
      <w:spacing w:before="840" w:after="480" w:line="240" w:lineRule="auto"/>
      <w:outlineLvl w:val="0"/>
    </w:pPr>
    <w:rPr>
      <w:rFonts w:eastAsiaTheme="majorEastAsia" w:cstheme="majorBidi"/>
      <w:b/>
      <w:bCs/>
      <w:color w:val="0070C0"/>
      <w:sz w:val="48"/>
      <w:szCs w:val="28"/>
    </w:rPr>
  </w:style>
  <w:style w:type="paragraph" w:styleId="Heading2">
    <w:name w:val="heading 2"/>
    <w:basedOn w:val="Normal"/>
    <w:next w:val="Normal"/>
    <w:link w:val="Heading2Char"/>
    <w:uiPriority w:val="9"/>
    <w:unhideWhenUsed/>
    <w:qFormat/>
    <w:rsid w:val="00E035D9"/>
    <w:pPr>
      <w:keepNext/>
      <w:keepLines/>
      <w:numPr>
        <w:ilvl w:val="1"/>
        <w:numId w:val="3"/>
      </w:numPr>
      <w:spacing w:before="560" w:after="360" w:line="240" w:lineRule="auto"/>
      <w:outlineLvl w:val="1"/>
    </w:pPr>
    <w:rPr>
      <w:rFonts w:eastAsiaTheme="majorEastAsia" w:cstheme="majorBidi"/>
      <w:b/>
      <w:bCs/>
      <w:color w:val="4F81BD" w:themeColor="accent1"/>
      <w:sz w:val="36"/>
      <w:szCs w:val="26"/>
    </w:rPr>
  </w:style>
  <w:style w:type="paragraph" w:styleId="Heading3">
    <w:name w:val="heading 3"/>
    <w:basedOn w:val="Normal"/>
    <w:next w:val="Normal"/>
    <w:link w:val="Heading3Char"/>
    <w:uiPriority w:val="9"/>
    <w:unhideWhenUsed/>
    <w:qFormat/>
    <w:rsid w:val="00E035D9"/>
    <w:pPr>
      <w:keepNext/>
      <w:keepLines/>
      <w:numPr>
        <w:ilvl w:val="2"/>
        <w:numId w:val="3"/>
      </w:numPr>
      <w:spacing w:before="200" w:after="120"/>
      <w:outlineLvl w:val="2"/>
    </w:pPr>
    <w:rPr>
      <w:rFonts w:eastAsiaTheme="majorEastAsia" w:cstheme="majorBidi"/>
      <w:b/>
      <w:bCs/>
      <w:color w:val="4F81BD" w:themeColor="accent1"/>
      <w:sz w:val="28"/>
    </w:rPr>
  </w:style>
  <w:style w:type="paragraph" w:styleId="Heading4">
    <w:name w:val="heading 4"/>
    <w:basedOn w:val="Normal"/>
    <w:next w:val="Normal"/>
    <w:link w:val="Heading4Char"/>
    <w:uiPriority w:val="9"/>
    <w:unhideWhenUsed/>
    <w:qFormat/>
    <w:rsid w:val="008D5E1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5E1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D5E1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D5E1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5E11"/>
    <w:pPr>
      <w:keepNext/>
      <w:keepLines/>
      <w:numPr>
        <w:ilvl w:val="7"/>
        <w:numId w:val="3"/>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D5E1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5D9"/>
    <w:rPr>
      <w:rFonts w:eastAsiaTheme="majorEastAsia" w:cstheme="majorBidi"/>
      <w:b/>
      <w:bCs/>
      <w:color w:val="0070C0"/>
      <w:sz w:val="48"/>
      <w:szCs w:val="28"/>
    </w:rPr>
  </w:style>
  <w:style w:type="character" w:customStyle="1" w:styleId="Heading2Char">
    <w:name w:val="Heading 2 Char"/>
    <w:basedOn w:val="DefaultParagraphFont"/>
    <w:link w:val="Heading2"/>
    <w:uiPriority w:val="9"/>
    <w:rsid w:val="00E035D9"/>
    <w:rPr>
      <w:rFonts w:eastAsiaTheme="majorEastAsia" w:cstheme="majorBidi"/>
      <w:b/>
      <w:bCs/>
      <w:color w:val="4F81BD" w:themeColor="accent1"/>
      <w:sz w:val="36"/>
      <w:szCs w:val="26"/>
    </w:rPr>
  </w:style>
  <w:style w:type="character" w:customStyle="1" w:styleId="Heading3Char">
    <w:name w:val="Heading 3 Char"/>
    <w:basedOn w:val="DefaultParagraphFont"/>
    <w:link w:val="Heading3"/>
    <w:uiPriority w:val="9"/>
    <w:rsid w:val="00E035D9"/>
    <w:rPr>
      <w:rFonts w:eastAsiaTheme="majorEastAsia" w:cstheme="majorBidi"/>
      <w:b/>
      <w:bCs/>
      <w:color w:val="4F81BD" w:themeColor="accent1"/>
      <w:sz w:val="28"/>
    </w:rPr>
  </w:style>
  <w:style w:type="character" w:customStyle="1" w:styleId="Heading4Char">
    <w:name w:val="Heading 4 Char"/>
    <w:basedOn w:val="DefaultParagraphFont"/>
    <w:link w:val="Heading4"/>
    <w:uiPriority w:val="9"/>
    <w:semiHidden/>
    <w:rsid w:val="008D5E1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D5E1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D5E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D5E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5E1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D5E1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D5E11"/>
    <w:pPr>
      <w:spacing w:line="240" w:lineRule="auto"/>
    </w:pPr>
    <w:rPr>
      <w:b/>
      <w:bCs/>
      <w:color w:val="4F81BD" w:themeColor="accent1"/>
      <w:sz w:val="18"/>
      <w:szCs w:val="18"/>
    </w:rPr>
  </w:style>
  <w:style w:type="paragraph" w:styleId="Title">
    <w:name w:val="Title"/>
    <w:basedOn w:val="Normal"/>
    <w:next w:val="Normal"/>
    <w:link w:val="TitleChar"/>
    <w:uiPriority w:val="10"/>
    <w:qFormat/>
    <w:rsid w:val="008D5E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5E1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5E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5E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D5E11"/>
    <w:rPr>
      <w:b/>
      <w:bCs/>
    </w:rPr>
  </w:style>
  <w:style w:type="character" w:styleId="Emphasis">
    <w:name w:val="Emphasis"/>
    <w:basedOn w:val="DefaultParagraphFont"/>
    <w:uiPriority w:val="20"/>
    <w:qFormat/>
    <w:rsid w:val="008D5E11"/>
    <w:rPr>
      <w:i/>
      <w:iCs/>
    </w:rPr>
  </w:style>
  <w:style w:type="paragraph" w:styleId="NoSpacing">
    <w:name w:val="No Spacing"/>
    <w:link w:val="NoSpacingChar"/>
    <w:uiPriority w:val="1"/>
    <w:qFormat/>
    <w:rsid w:val="008D5E11"/>
    <w:pPr>
      <w:spacing w:after="0" w:line="240" w:lineRule="auto"/>
    </w:pPr>
  </w:style>
  <w:style w:type="paragraph" w:styleId="ListParagraph">
    <w:name w:val="List Paragraph"/>
    <w:basedOn w:val="Normal"/>
    <w:uiPriority w:val="34"/>
    <w:qFormat/>
    <w:rsid w:val="008D5E11"/>
    <w:pPr>
      <w:ind w:left="720"/>
      <w:contextualSpacing/>
    </w:pPr>
  </w:style>
  <w:style w:type="paragraph" w:styleId="Quote">
    <w:name w:val="Quote"/>
    <w:basedOn w:val="Normal"/>
    <w:next w:val="Normal"/>
    <w:link w:val="QuoteChar"/>
    <w:uiPriority w:val="29"/>
    <w:qFormat/>
    <w:rsid w:val="008D5E11"/>
    <w:rPr>
      <w:i/>
      <w:iCs/>
      <w:color w:val="000000" w:themeColor="text1"/>
    </w:rPr>
  </w:style>
  <w:style w:type="character" w:customStyle="1" w:styleId="QuoteChar">
    <w:name w:val="Quote Char"/>
    <w:basedOn w:val="DefaultParagraphFont"/>
    <w:link w:val="Quote"/>
    <w:uiPriority w:val="29"/>
    <w:rsid w:val="008D5E11"/>
    <w:rPr>
      <w:i/>
      <w:iCs/>
      <w:color w:val="000000" w:themeColor="text1"/>
    </w:rPr>
  </w:style>
  <w:style w:type="paragraph" w:styleId="IntenseQuote">
    <w:name w:val="Intense Quote"/>
    <w:basedOn w:val="Normal"/>
    <w:next w:val="Normal"/>
    <w:link w:val="IntenseQuoteChar"/>
    <w:uiPriority w:val="30"/>
    <w:qFormat/>
    <w:rsid w:val="008D5E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D5E11"/>
    <w:rPr>
      <w:b/>
      <w:bCs/>
      <w:i/>
      <w:iCs/>
      <w:color w:val="4F81BD" w:themeColor="accent1"/>
    </w:rPr>
  </w:style>
  <w:style w:type="character" w:styleId="SubtleEmphasis">
    <w:name w:val="Subtle Emphasis"/>
    <w:basedOn w:val="DefaultParagraphFont"/>
    <w:uiPriority w:val="19"/>
    <w:qFormat/>
    <w:rsid w:val="008D5E11"/>
    <w:rPr>
      <w:i/>
      <w:iCs/>
      <w:color w:val="808080" w:themeColor="text1" w:themeTint="7F"/>
    </w:rPr>
  </w:style>
  <w:style w:type="character" w:styleId="IntenseEmphasis">
    <w:name w:val="Intense Emphasis"/>
    <w:basedOn w:val="DefaultParagraphFont"/>
    <w:uiPriority w:val="21"/>
    <w:qFormat/>
    <w:rsid w:val="00E035D9"/>
    <w:rPr>
      <w:rFonts w:asciiTheme="minorHAnsi" w:hAnsiTheme="minorHAnsi"/>
      <w:b/>
      <w:bCs/>
      <w:i/>
      <w:iCs/>
      <w:color w:val="0070C0"/>
      <w:sz w:val="22"/>
    </w:rPr>
  </w:style>
  <w:style w:type="character" w:styleId="SubtleReference">
    <w:name w:val="Subtle Reference"/>
    <w:basedOn w:val="DefaultParagraphFont"/>
    <w:uiPriority w:val="31"/>
    <w:qFormat/>
    <w:rsid w:val="008D5E11"/>
    <w:rPr>
      <w:smallCaps/>
      <w:color w:val="C0504D" w:themeColor="accent2"/>
      <w:u w:val="single"/>
    </w:rPr>
  </w:style>
  <w:style w:type="character" w:styleId="IntenseReference">
    <w:name w:val="Intense Reference"/>
    <w:basedOn w:val="DefaultParagraphFont"/>
    <w:uiPriority w:val="32"/>
    <w:qFormat/>
    <w:rsid w:val="008D5E11"/>
    <w:rPr>
      <w:b/>
      <w:bCs/>
      <w:smallCaps/>
      <w:color w:val="C0504D" w:themeColor="accent2"/>
      <w:spacing w:val="5"/>
      <w:u w:val="single"/>
    </w:rPr>
  </w:style>
  <w:style w:type="character" w:styleId="BookTitle">
    <w:name w:val="Book Title"/>
    <w:basedOn w:val="DefaultParagraphFont"/>
    <w:uiPriority w:val="33"/>
    <w:qFormat/>
    <w:rsid w:val="008D5E11"/>
    <w:rPr>
      <w:b/>
      <w:bCs/>
      <w:smallCaps/>
      <w:spacing w:val="5"/>
    </w:rPr>
  </w:style>
  <w:style w:type="paragraph" w:styleId="TOCHeading">
    <w:name w:val="TOC Heading"/>
    <w:basedOn w:val="Heading1"/>
    <w:next w:val="Normal"/>
    <w:uiPriority w:val="39"/>
    <w:semiHidden/>
    <w:unhideWhenUsed/>
    <w:qFormat/>
    <w:rsid w:val="008D5E11"/>
    <w:pPr>
      <w:outlineLvl w:val="9"/>
    </w:pPr>
  </w:style>
  <w:style w:type="character" w:customStyle="1" w:styleId="NoSpacingChar">
    <w:name w:val="No Spacing Char"/>
    <w:basedOn w:val="DefaultParagraphFont"/>
    <w:link w:val="NoSpacing"/>
    <w:uiPriority w:val="1"/>
    <w:rsid w:val="00E43E22"/>
  </w:style>
  <w:style w:type="paragraph" w:styleId="BalloonText">
    <w:name w:val="Balloon Text"/>
    <w:basedOn w:val="Normal"/>
    <w:link w:val="BalloonTextChar"/>
    <w:uiPriority w:val="99"/>
    <w:semiHidden/>
    <w:unhideWhenUsed/>
    <w:rsid w:val="00E4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E22"/>
    <w:rPr>
      <w:rFonts w:ascii="Tahoma" w:hAnsi="Tahoma" w:cs="Tahoma"/>
      <w:sz w:val="16"/>
      <w:szCs w:val="16"/>
    </w:rPr>
  </w:style>
  <w:style w:type="paragraph" w:styleId="Header">
    <w:name w:val="header"/>
    <w:basedOn w:val="Normal"/>
    <w:link w:val="HeaderChar"/>
    <w:uiPriority w:val="99"/>
    <w:unhideWhenUsed/>
    <w:rsid w:val="008D5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E11"/>
    <w:rPr>
      <w:sz w:val="20"/>
      <w:szCs w:val="20"/>
    </w:rPr>
  </w:style>
  <w:style w:type="paragraph" w:styleId="Footer">
    <w:name w:val="footer"/>
    <w:basedOn w:val="Normal"/>
    <w:link w:val="FooterChar"/>
    <w:uiPriority w:val="99"/>
    <w:unhideWhenUsed/>
    <w:rsid w:val="008D5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E11"/>
    <w:rPr>
      <w:sz w:val="20"/>
      <w:szCs w:val="20"/>
    </w:rPr>
  </w:style>
  <w:style w:type="paragraph" w:styleId="TOC2">
    <w:name w:val="toc 2"/>
    <w:basedOn w:val="Normal"/>
    <w:next w:val="Normal"/>
    <w:autoRedefine/>
    <w:uiPriority w:val="39"/>
    <w:unhideWhenUsed/>
    <w:rsid w:val="00F85D7A"/>
    <w:pPr>
      <w:spacing w:after="100"/>
      <w:ind w:left="220"/>
    </w:pPr>
  </w:style>
  <w:style w:type="paragraph" w:styleId="TOC3">
    <w:name w:val="toc 3"/>
    <w:basedOn w:val="Normal"/>
    <w:next w:val="Normal"/>
    <w:autoRedefine/>
    <w:uiPriority w:val="39"/>
    <w:unhideWhenUsed/>
    <w:rsid w:val="00F85D7A"/>
    <w:pPr>
      <w:spacing w:after="100"/>
      <w:ind w:left="440"/>
    </w:pPr>
  </w:style>
  <w:style w:type="character" w:styleId="Hyperlink">
    <w:name w:val="Hyperlink"/>
    <w:basedOn w:val="DefaultParagraphFont"/>
    <w:uiPriority w:val="99"/>
    <w:unhideWhenUsed/>
    <w:rsid w:val="00F85D7A"/>
    <w:rPr>
      <w:color w:val="0000FF" w:themeColor="hyperlink"/>
      <w:u w:val="single"/>
    </w:rPr>
  </w:style>
  <w:style w:type="paragraph" w:styleId="TOC1">
    <w:name w:val="toc 1"/>
    <w:basedOn w:val="Normal"/>
    <w:next w:val="Normal"/>
    <w:autoRedefine/>
    <w:uiPriority w:val="39"/>
    <w:unhideWhenUsed/>
    <w:rsid w:val="00C220A5"/>
    <w:pPr>
      <w:tabs>
        <w:tab w:val="left" w:pos="440"/>
        <w:tab w:val="right" w:leader="dot" w:pos="9016"/>
      </w:tabs>
      <w:spacing w:after="100"/>
    </w:pPr>
    <w:rPr>
      <w:rFonts w:asciiTheme="majorHAnsi" w:hAnsiTheme="majorHAnsi"/>
      <w:lang w:val="en-US"/>
    </w:rPr>
  </w:style>
  <w:style w:type="table" w:styleId="TableGrid">
    <w:name w:val="Table Grid"/>
    <w:basedOn w:val="TableNormal"/>
    <w:uiPriority w:val="59"/>
    <w:rsid w:val="00AF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F398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AF398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AF398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496C3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632C4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semiHidden/>
    <w:unhideWhenUsed/>
    <w:rsid w:val="00EE1677"/>
    <w:pPr>
      <w:spacing w:after="0" w:line="240" w:lineRule="auto"/>
    </w:pPr>
    <w:rPr>
      <w:sz w:val="20"/>
      <w:szCs w:val="20"/>
    </w:rPr>
  </w:style>
  <w:style w:type="character" w:customStyle="1" w:styleId="FootnoteTextChar">
    <w:name w:val="Footnote Text Char"/>
    <w:basedOn w:val="DefaultParagraphFont"/>
    <w:link w:val="FootnoteText"/>
    <w:semiHidden/>
    <w:rsid w:val="00EE1677"/>
    <w:rPr>
      <w:sz w:val="20"/>
      <w:szCs w:val="20"/>
    </w:rPr>
  </w:style>
  <w:style w:type="character" w:styleId="FootnoteReference">
    <w:name w:val="footnote reference"/>
    <w:basedOn w:val="DefaultParagraphFont"/>
    <w:semiHidden/>
    <w:unhideWhenUsed/>
    <w:rsid w:val="00EE1677"/>
    <w:rPr>
      <w:vertAlign w:val="superscript"/>
    </w:rPr>
  </w:style>
  <w:style w:type="table" w:styleId="LightGrid-Accent1">
    <w:name w:val="Light Grid Accent 1"/>
    <w:basedOn w:val="TableNormal"/>
    <w:uiPriority w:val="62"/>
    <w:rsid w:val="009A34E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5A2F89"/>
    <w:rPr>
      <w:sz w:val="16"/>
      <w:szCs w:val="16"/>
    </w:rPr>
  </w:style>
  <w:style w:type="paragraph" w:styleId="CommentText">
    <w:name w:val="annotation text"/>
    <w:basedOn w:val="Normal"/>
    <w:link w:val="CommentTextChar"/>
    <w:uiPriority w:val="99"/>
    <w:semiHidden/>
    <w:unhideWhenUsed/>
    <w:rsid w:val="005A2F89"/>
    <w:pPr>
      <w:spacing w:line="240" w:lineRule="auto"/>
    </w:pPr>
    <w:rPr>
      <w:sz w:val="20"/>
      <w:szCs w:val="20"/>
    </w:rPr>
  </w:style>
  <w:style w:type="character" w:customStyle="1" w:styleId="CommentTextChar">
    <w:name w:val="Comment Text Char"/>
    <w:basedOn w:val="DefaultParagraphFont"/>
    <w:link w:val="CommentText"/>
    <w:uiPriority w:val="99"/>
    <w:semiHidden/>
    <w:rsid w:val="005A2F89"/>
    <w:rPr>
      <w:sz w:val="20"/>
      <w:szCs w:val="20"/>
    </w:rPr>
  </w:style>
  <w:style w:type="paragraph" w:styleId="CommentSubject">
    <w:name w:val="annotation subject"/>
    <w:basedOn w:val="CommentText"/>
    <w:next w:val="CommentText"/>
    <w:link w:val="CommentSubjectChar"/>
    <w:uiPriority w:val="99"/>
    <w:semiHidden/>
    <w:unhideWhenUsed/>
    <w:rsid w:val="005A2F89"/>
    <w:rPr>
      <w:b/>
      <w:bCs/>
    </w:rPr>
  </w:style>
  <w:style w:type="character" w:customStyle="1" w:styleId="CommentSubjectChar">
    <w:name w:val="Comment Subject Char"/>
    <w:basedOn w:val="CommentTextChar"/>
    <w:link w:val="CommentSubject"/>
    <w:uiPriority w:val="99"/>
    <w:semiHidden/>
    <w:rsid w:val="005A2F89"/>
    <w:rPr>
      <w:b/>
      <w:bCs/>
      <w:sz w:val="20"/>
      <w:szCs w:val="20"/>
    </w:rPr>
  </w:style>
  <w:style w:type="character" w:styleId="FollowedHyperlink">
    <w:name w:val="FollowedHyperlink"/>
    <w:basedOn w:val="DefaultParagraphFont"/>
    <w:uiPriority w:val="99"/>
    <w:semiHidden/>
    <w:unhideWhenUsed/>
    <w:rsid w:val="0043396D"/>
    <w:rPr>
      <w:color w:val="800080" w:themeColor="followedHyperlink"/>
      <w:u w:val="single"/>
    </w:rPr>
  </w:style>
  <w:style w:type="paragraph" w:styleId="Revision">
    <w:name w:val="Revision"/>
    <w:hidden/>
    <w:uiPriority w:val="99"/>
    <w:semiHidden/>
    <w:rsid w:val="00CE2347"/>
    <w:pPr>
      <w:spacing w:after="0" w:line="240" w:lineRule="auto"/>
    </w:pPr>
  </w:style>
  <w:style w:type="paragraph" w:styleId="TOC4">
    <w:name w:val="toc 4"/>
    <w:basedOn w:val="Normal"/>
    <w:next w:val="Normal"/>
    <w:autoRedefine/>
    <w:uiPriority w:val="39"/>
    <w:unhideWhenUsed/>
    <w:rsid w:val="005E3780"/>
    <w:pPr>
      <w:spacing w:after="100"/>
      <w:ind w:left="660"/>
    </w:pPr>
    <w:rPr>
      <w:lang w:eastAsia="en-GB"/>
    </w:rPr>
  </w:style>
  <w:style w:type="paragraph" w:styleId="TOC5">
    <w:name w:val="toc 5"/>
    <w:basedOn w:val="Normal"/>
    <w:next w:val="Normal"/>
    <w:autoRedefine/>
    <w:uiPriority w:val="39"/>
    <w:unhideWhenUsed/>
    <w:rsid w:val="005E3780"/>
    <w:pPr>
      <w:spacing w:after="100"/>
      <w:ind w:left="880"/>
    </w:pPr>
    <w:rPr>
      <w:lang w:eastAsia="en-GB"/>
    </w:rPr>
  </w:style>
  <w:style w:type="paragraph" w:styleId="TOC6">
    <w:name w:val="toc 6"/>
    <w:basedOn w:val="Normal"/>
    <w:next w:val="Normal"/>
    <w:autoRedefine/>
    <w:uiPriority w:val="39"/>
    <w:unhideWhenUsed/>
    <w:rsid w:val="005E3780"/>
    <w:pPr>
      <w:spacing w:after="100"/>
      <w:ind w:left="1100"/>
    </w:pPr>
    <w:rPr>
      <w:lang w:eastAsia="en-GB"/>
    </w:rPr>
  </w:style>
  <w:style w:type="paragraph" w:styleId="TOC7">
    <w:name w:val="toc 7"/>
    <w:basedOn w:val="Normal"/>
    <w:next w:val="Normal"/>
    <w:autoRedefine/>
    <w:uiPriority w:val="39"/>
    <w:unhideWhenUsed/>
    <w:rsid w:val="005E3780"/>
    <w:pPr>
      <w:spacing w:after="100"/>
      <w:ind w:left="1320"/>
    </w:pPr>
    <w:rPr>
      <w:lang w:eastAsia="en-GB"/>
    </w:rPr>
  </w:style>
  <w:style w:type="paragraph" w:styleId="TOC8">
    <w:name w:val="toc 8"/>
    <w:basedOn w:val="Normal"/>
    <w:next w:val="Normal"/>
    <w:autoRedefine/>
    <w:uiPriority w:val="39"/>
    <w:unhideWhenUsed/>
    <w:rsid w:val="005E3780"/>
    <w:pPr>
      <w:spacing w:after="100"/>
      <w:ind w:left="1540"/>
    </w:pPr>
    <w:rPr>
      <w:lang w:eastAsia="en-GB"/>
    </w:rPr>
  </w:style>
  <w:style w:type="paragraph" w:styleId="TOC9">
    <w:name w:val="toc 9"/>
    <w:basedOn w:val="Normal"/>
    <w:next w:val="Normal"/>
    <w:autoRedefine/>
    <w:uiPriority w:val="39"/>
    <w:unhideWhenUsed/>
    <w:rsid w:val="005E3780"/>
    <w:pPr>
      <w:spacing w:after="100"/>
      <w:ind w:left="1760"/>
    </w:pPr>
    <w:rPr>
      <w:lang w:eastAsia="en-GB"/>
    </w:rPr>
  </w:style>
  <w:style w:type="table" w:customStyle="1" w:styleId="GridTable5Dark-Accent11">
    <w:name w:val="Grid Table 5 Dark - Accent 11"/>
    <w:basedOn w:val="TableNormal"/>
    <w:uiPriority w:val="50"/>
    <w:rsid w:val="007C79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66493">
      <w:bodyDiv w:val="1"/>
      <w:marLeft w:val="0"/>
      <w:marRight w:val="0"/>
      <w:marTop w:val="0"/>
      <w:marBottom w:val="0"/>
      <w:divBdr>
        <w:top w:val="none" w:sz="0" w:space="0" w:color="auto"/>
        <w:left w:val="none" w:sz="0" w:space="0" w:color="auto"/>
        <w:bottom w:val="none" w:sz="0" w:space="0" w:color="auto"/>
        <w:right w:val="none" w:sz="0" w:space="0" w:color="auto"/>
      </w:divBdr>
    </w:div>
    <w:div w:id="18768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chinaresearch.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achinaresearch.com/news/press-release-new-study-from-machina-research-maps-the-dna-of-m2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Documents\Work\Reports\Report%20Template%2020111121%20v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884006834051415E-2"/>
          <c:y val="3.7069744189576315E-2"/>
          <c:w val="0.87352473629475558"/>
          <c:h val="0.90160251681538794"/>
        </c:manualLayout>
      </c:layout>
      <c:barChart>
        <c:barDir val="col"/>
        <c:grouping val="stacked"/>
        <c:varyColors val="0"/>
        <c:ser>
          <c:idx val="0"/>
          <c:order val="0"/>
          <c:tx>
            <c:strRef>
              <c:f>Sheet1!$A$2</c:f>
              <c:strCache>
                <c:ptCount val="1"/>
                <c:pt idx="0">
                  <c:v>Car</c:v>
                </c:pt>
              </c:strCache>
            </c:strRef>
          </c:tx>
          <c:spPr>
            <a:solidFill>
              <a:schemeClr val="accent1"/>
            </a:solidFill>
            <a:ln>
              <a:noFill/>
            </a:ln>
            <a:effectLst/>
          </c:spPr>
          <c:invertIfNegative val="0"/>
          <c:cat>
            <c:strRef>
              <c:f>Sheet1!$B$1:$L$1</c:f>
              <c:strCache>
                <c:ptCount val="11"/>
                <c:pt idx="0">
                  <c:v>2014</c:v>
                </c:pt>
                <c:pt idx="1">
                  <c:v>2015</c:v>
                </c:pt>
                <c:pt idx="2">
                  <c:v>2016</c:v>
                </c:pt>
                <c:pt idx="3">
                  <c:v>2017</c:v>
                </c:pt>
                <c:pt idx="4">
                  <c:v>2018</c:v>
                </c:pt>
                <c:pt idx="5">
                  <c:v>2019</c:v>
                </c:pt>
                <c:pt idx="6">
                  <c:v>2020</c:v>
                </c:pt>
                <c:pt idx="7">
                  <c:v>2021</c:v>
                </c:pt>
                <c:pt idx="8">
                  <c:v>2022</c:v>
                </c:pt>
                <c:pt idx="9">
                  <c:v>2023</c:v>
                </c:pt>
                <c:pt idx="10">
                  <c:v>2024</c:v>
                </c:pt>
              </c:strCache>
            </c:strRef>
          </c:cat>
          <c:val>
            <c:numRef>
              <c:f>Sheet1!$B$2:$L$2</c:f>
              <c:numCache>
                <c:formatCode>#,##0.00</c:formatCode>
                <c:ptCount val="11"/>
                <c:pt idx="0">
                  <c:v>111491.932</c:v>
                </c:pt>
                <c:pt idx="1">
                  <c:v>161888.57199999999</c:v>
                </c:pt>
                <c:pt idx="2">
                  <c:v>235168.49299999999</c:v>
                </c:pt>
                <c:pt idx="3">
                  <c:v>324248.71100000001</c:v>
                </c:pt>
                <c:pt idx="4">
                  <c:v>424486.94099999999</c:v>
                </c:pt>
                <c:pt idx="5">
                  <c:v>534096.73199999996</c:v>
                </c:pt>
                <c:pt idx="6">
                  <c:v>651689.10499999998</c:v>
                </c:pt>
                <c:pt idx="7">
                  <c:v>774455.79599999997</c:v>
                </c:pt>
                <c:pt idx="8">
                  <c:v>898045.68900000001</c:v>
                </c:pt>
                <c:pt idx="9">
                  <c:v>1022825.361</c:v>
                </c:pt>
                <c:pt idx="10">
                  <c:v>1146594.6200000001</c:v>
                </c:pt>
              </c:numCache>
            </c:numRef>
          </c:val>
        </c:ser>
        <c:ser>
          <c:idx val="1"/>
          <c:order val="1"/>
          <c:tx>
            <c:strRef>
              <c:f>Sheet1!$A$3</c:f>
              <c:strCache>
                <c:ptCount val="1"/>
                <c:pt idx="0">
                  <c:v>Cities</c:v>
                </c:pt>
              </c:strCache>
            </c:strRef>
          </c:tx>
          <c:spPr>
            <a:solidFill>
              <a:schemeClr val="accent2"/>
            </a:solidFill>
            <a:ln>
              <a:noFill/>
            </a:ln>
            <a:effectLst/>
          </c:spPr>
          <c:invertIfNegative val="0"/>
          <c:cat>
            <c:strRef>
              <c:f>Sheet1!$B$1:$L$1</c:f>
              <c:strCache>
                <c:ptCount val="11"/>
                <c:pt idx="0">
                  <c:v>2014</c:v>
                </c:pt>
                <c:pt idx="1">
                  <c:v>2015</c:v>
                </c:pt>
                <c:pt idx="2">
                  <c:v>2016</c:v>
                </c:pt>
                <c:pt idx="3">
                  <c:v>2017</c:v>
                </c:pt>
                <c:pt idx="4">
                  <c:v>2018</c:v>
                </c:pt>
                <c:pt idx="5">
                  <c:v>2019</c:v>
                </c:pt>
                <c:pt idx="6">
                  <c:v>2020</c:v>
                </c:pt>
                <c:pt idx="7">
                  <c:v>2021</c:v>
                </c:pt>
                <c:pt idx="8">
                  <c:v>2022</c:v>
                </c:pt>
                <c:pt idx="9">
                  <c:v>2023</c:v>
                </c:pt>
                <c:pt idx="10">
                  <c:v>2024</c:v>
                </c:pt>
              </c:strCache>
            </c:strRef>
          </c:cat>
          <c:val>
            <c:numRef>
              <c:f>Sheet1!$B$3:$L$3</c:f>
              <c:numCache>
                <c:formatCode>#,##0.00</c:formatCode>
                <c:ptCount val="11"/>
                <c:pt idx="0">
                  <c:v>10402.483</c:v>
                </c:pt>
                <c:pt idx="1">
                  <c:v>12320.941999999999</c:v>
                </c:pt>
                <c:pt idx="2">
                  <c:v>14584.123</c:v>
                </c:pt>
                <c:pt idx="3">
                  <c:v>17455.699000000001</c:v>
                </c:pt>
                <c:pt idx="4">
                  <c:v>20536.050999999999</c:v>
                </c:pt>
                <c:pt idx="5">
                  <c:v>23700.45</c:v>
                </c:pt>
                <c:pt idx="6">
                  <c:v>26994.744999999999</c:v>
                </c:pt>
                <c:pt idx="7">
                  <c:v>30280.633000000002</c:v>
                </c:pt>
                <c:pt idx="8">
                  <c:v>33456.870999999999</c:v>
                </c:pt>
                <c:pt idx="9">
                  <c:v>36444.644</c:v>
                </c:pt>
                <c:pt idx="10">
                  <c:v>39377.839</c:v>
                </c:pt>
              </c:numCache>
            </c:numRef>
          </c:val>
        </c:ser>
        <c:ser>
          <c:idx val="2"/>
          <c:order val="2"/>
          <c:tx>
            <c:strRef>
              <c:f>Sheet1!$A$4</c:f>
              <c:strCache>
                <c:ptCount val="1"/>
                <c:pt idx="0">
                  <c:v>Health</c:v>
                </c:pt>
              </c:strCache>
            </c:strRef>
          </c:tx>
          <c:spPr>
            <a:solidFill>
              <a:schemeClr val="accent3"/>
            </a:solidFill>
            <a:ln>
              <a:noFill/>
            </a:ln>
            <a:effectLst/>
          </c:spPr>
          <c:invertIfNegative val="0"/>
          <c:cat>
            <c:strRef>
              <c:f>Sheet1!$B$1:$L$1</c:f>
              <c:strCache>
                <c:ptCount val="11"/>
                <c:pt idx="0">
                  <c:v>2014</c:v>
                </c:pt>
                <c:pt idx="1">
                  <c:v>2015</c:v>
                </c:pt>
                <c:pt idx="2">
                  <c:v>2016</c:v>
                </c:pt>
                <c:pt idx="3">
                  <c:v>2017</c:v>
                </c:pt>
                <c:pt idx="4">
                  <c:v>2018</c:v>
                </c:pt>
                <c:pt idx="5">
                  <c:v>2019</c:v>
                </c:pt>
                <c:pt idx="6">
                  <c:v>2020</c:v>
                </c:pt>
                <c:pt idx="7">
                  <c:v>2021</c:v>
                </c:pt>
                <c:pt idx="8">
                  <c:v>2022</c:v>
                </c:pt>
                <c:pt idx="9">
                  <c:v>2023</c:v>
                </c:pt>
                <c:pt idx="10">
                  <c:v>2024</c:v>
                </c:pt>
              </c:strCache>
            </c:strRef>
          </c:cat>
          <c:val>
            <c:numRef>
              <c:f>Sheet1!$B$4:$L$4</c:f>
              <c:numCache>
                <c:formatCode>#,##0.00</c:formatCode>
                <c:ptCount val="11"/>
                <c:pt idx="0">
                  <c:v>10737.75</c:v>
                </c:pt>
                <c:pt idx="1">
                  <c:v>18331.164000000001</c:v>
                </c:pt>
                <c:pt idx="2">
                  <c:v>29231.133999999998</c:v>
                </c:pt>
                <c:pt idx="3">
                  <c:v>42570.108</c:v>
                </c:pt>
                <c:pt idx="4">
                  <c:v>57806.220999999998</c:v>
                </c:pt>
                <c:pt idx="5">
                  <c:v>74549.732999999993</c:v>
                </c:pt>
                <c:pt idx="6">
                  <c:v>91717.909</c:v>
                </c:pt>
                <c:pt idx="7">
                  <c:v>108012.803</c:v>
                </c:pt>
                <c:pt idx="8">
                  <c:v>122576.11599999999</c:v>
                </c:pt>
                <c:pt idx="9">
                  <c:v>135089.177</c:v>
                </c:pt>
                <c:pt idx="10">
                  <c:v>145452.421</c:v>
                </c:pt>
              </c:numCache>
            </c:numRef>
          </c:val>
        </c:ser>
        <c:ser>
          <c:idx val="3"/>
          <c:order val="3"/>
          <c:tx>
            <c:strRef>
              <c:f>Sheet1!$A$5</c:f>
              <c:strCache>
                <c:ptCount val="1"/>
                <c:pt idx="0">
                  <c:v>Industry</c:v>
                </c:pt>
              </c:strCache>
            </c:strRef>
          </c:tx>
          <c:spPr>
            <a:solidFill>
              <a:schemeClr val="accent4"/>
            </a:solidFill>
            <a:ln>
              <a:noFill/>
            </a:ln>
            <a:effectLst/>
          </c:spPr>
          <c:invertIfNegative val="0"/>
          <c:cat>
            <c:strRef>
              <c:f>Sheet1!$B$1:$L$1</c:f>
              <c:strCache>
                <c:ptCount val="11"/>
                <c:pt idx="0">
                  <c:v>2014</c:v>
                </c:pt>
                <c:pt idx="1">
                  <c:v>2015</c:v>
                </c:pt>
                <c:pt idx="2">
                  <c:v>2016</c:v>
                </c:pt>
                <c:pt idx="3">
                  <c:v>2017</c:v>
                </c:pt>
                <c:pt idx="4">
                  <c:v>2018</c:v>
                </c:pt>
                <c:pt idx="5">
                  <c:v>2019</c:v>
                </c:pt>
                <c:pt idx="6">
                  <c:v>2020</c:v>
                </c:pt>
                <c:pt idx="7">
                  <c:v>2021</c:v>
                </c:pt>
                <c:pt idx="8">
                  <c:v>2022</c:v>
                </c:pt>
                <c:pt idx="9">
                  <c:v>2023</c:v>
                </c:pt>
                <c:pt idx="10">
                  <c:v>2024</c:v>
                </c:pt>
              </c:strCache>
            </c:strRef>
          </c:cat>
          <c:val>
            <c:numRef>
              <c:f>Sheet1!$B$5:$L$5</c:f>
              <c:numCache>
                <c:formatCode>#,##0.00</c:formatCode>
                <c:ptCount val="11"/>
                <c:pt idx="0">
                  <c:v>30939.218000000001</c:v>
                </c:pt>
                <c:pt idx="1">
                  <c:v>37896.110999999997</c:v>
                </c:pt>
                <c:pt idx="2">
                  <c:v>46266.22</c:v>
                </c:pt>
                <c:pt idx="3">
                  <c:v>55885.565999999999</c:v>
                </c:pt>
                <c:pt idx="4">
                  <c:v>66551.403999999995</c:v>
                </c:pt>
                <c:pt idx="5">
                  <c:v>78026.857999999993</c:v>
                </c:pt>
                <c:pt idx="6">
                  <c:v>90081.741999999998</c:v>
                </c:pt>
                <c:pt idx="7">
                  <c:v>102264.101</c:v>
                </c:pt>
                <c:pt idx="8">
                  <c:v>114268.041</c:v>
                </c:pt>
                <c:pt idx="9">
                  <c:v>125896.99099999999</c:v>
                </c:pt>
                <c:pt idx="10">
                  <c:v>137291.77600000001</c:v>
                </c:pt>
              </c:numCache>
            </c:numRef>
          </c:val>
        </c:ser>
        <c:ser>
          <c:idx val="4"/>
          <c:order val="4"/>
          <c:tx>
            <c:strRef>
              <c:f>Sheet1!$A$6</c:f>
              <c:strCache>
                <c:ptCount val="1"/>
                <c:pt idx="0">
                  <c:v>Living &amp; Working</c:v>
                </c:pt>
              </c:strCache>
            </c:strRef>
          </c:tx>
          <c:spPr>
            <a:solidFill>
              <a:srgbClr val="FFC000"/>
            </a:solidFill>
            <a:ln>
              <a:noFill/>
            </a:ln>
            <a:effectLst/>
          </c:spPr>
          <c:invertIfNegative val="0"/>
          <c:cat>
            <c:strRef>
              <c:f>Sheet1!$B$1:$L$1</c:f>
              <c:strCache>
                <c:ptCount val="11"/>
                <c:pt idx="0">
                  <c:v>2014</c:v>
                </c:pt>
                <c:pt idx="1">
                  <c:v>2015</c:v>
                </c:pt>
                <c:pt idx="2">
                  <c:v>2016</c:v>
                </c:pt>
                <c:pt idx="3">
                  <c:v>2017</c:v>
                </c:pt>
                <c:pt idx="4">
                  <c:v>2018</c:v>
                </c:pt>
                <c:pt idx="5">
                  <c:v>2019</c:v>
                </c:pt>
                <c:pt idx="6">
                  <c:v>2020</c:v>
                </c:pt>
                <c:pt idx="7">
                  <c:v>2021</c:v>
                </c:pt>
                <c:pt idx="8">
                  <c:v>2022</c:v>
                </c:pt>
                <c:pt idx="9">
                  <c:v>2023</c:v>
                </c:pt>
                <c:pt idx="10">
                  <c:v>2024</c:v>
                </c:pt>
              </c:strCache>
            </c:strRef>
          </c:cat>
          <c:val>
            <c:numRef>
              <c:f>Sheet1!$B$6:$L$6</c:f>
              <c:numCache>
                <c:formatCode>#,##0.00</c:formatCode>
                <c:ptCount val="11"/>
                <c:pt idx="0">
                  <c:v>88823.906000000003</c:v>
                </c:pt>
                <c:pt idx="1">
                  <c:v>122149.512</c:v>
                </c:pt>
                <c:pt idx="2">
                  <c:v>168532.75399999999</c:v>
                </c:pt>
                <c:pt idx="3">
                  <c:v>225738.97</c:v>
                </c:pt>
                <c:pt idx="4">
                  <c:v>293760.55599999998</c:v>
                </c:pt>
                <c:pt idx="5">
                  <c:v>368837.77500000002</c:v>
                </c:pt>
                <c:pt idx="6">
                  <c:v>448876.17599999998</c:v>
                </c:pt>
                <c:pt idx="7">
                  <c:v>531389.40500000003</c:v>
                </c:pt>
                <c:pt idx="8">
                  <c:v>616438.88500000001</c:v>
                </c:pt>
                <c:pt idx="9">
                  <c:v>702893.22</c:v>
                </c:pt>
                <c:pt idx="10">
                  <c:v>789299.25600000005</c:v>
                </c:pt>
              </c:numCache>
            </c:numRef>
          </c:val>
        </c:ser>
        <c:dLbls>
          <c:showLegendKey val="0"/>
          <c:showVal val="0"/>
          <c:showCatName val="0"/>
          <c:showSerName val="0"/>
          <c:showPercent val="0"/>
          <c:showBubbleSize val="0"/>
        </c:dLbls>
        <c:gapWidth val="219"/>
        <c:overlap val="100"/>
        <c:axId val="43523456"/>
        <c:axId val="43530880"/>
      </c:barChart>
      <c:catAx>
        <c:axId val="4352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30880"/>
        <c:crossesAt val="0"/>
        <c:auto val="1"/>
        <c:lblAlgn val="ctr"/>
        <c:lblOffset val="100"/>
        <c:noMultiLvlLbl val="0"/>
      </c:catAx>
      <c:valAx>
        <c:axId val="43530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a:t>Connections (billion)</a:t>
                </a:r>
              </a:p>
            </c:rich>
          </c:tx>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23456"/>
        <c:crosses val="autoZero"/>
        <c:crossBetween val="between"/>
        <c:dispUnits>
          <c:builtInUnit val="millions"/>
        </c:dispUnits>
      </c:valAx>
      <c:spPr>
        <a:noFill/>
        <a:ln>
          <a:noFill/>
        </a:ln>
        <a:effectLst/>
      </c:spPr>
    </c:plotArea>
    <c:legend>
      <c:legendPos val="b"/>
      <c:layout>
        <c:manualLayout>
          <c:xMode val="edge"/>
          <c:yMode val="edge"/>
          <c:x val="0.13525571980389245"/>
          <c:y val="6.0589793693738639E-2"/>
          <c:w val="0.26093503937007873"/>
          <c:h val="0.3559583075045214"/>
        </c:manualLayout>
      </c:layout>
      <c:overlay val="0"/>
      <c:spPr>
        <a:solidFill>
          <a:schemeClr val="bg1"/>
        </a:solidFill>
        <a:ln>
          <a:solidFill>
            <a:schemeClr val="accent1"/>
          </a:solid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Sheet1!$A$2</c:f>
              <c:strCache>
                <c:ptCount val="1"/>
                <c:pt idx="0">
                  <c:v>Traffic</c:v>
                </c:pt>
              </c:strCache>
            </c:strRef>
          </c:tx>
          <c:spPr>
            <a:solidFill>
              <a:schemeClr val="accent1"/>
            </a:solidFill>
            <a:ln>
              <a:noFill/>
            </a:ln>
            <a:effectLst/>
          </c:spPr>
          <c:invertIfNegative val="0"/>
          <c:cat>
            <c:strRef>
              <c:f>Sheet1!$B$1:$L$1</c:f>
              <c:strCache>
                <c:ptCount val="11"/>
                <c:pt idx="0">
                  <c:v>2014</c:v>
                </c:pt>
                <c:pt idx="1">
                  <c:v>2015</c:v>
                </c:pt>
                <c:pt idx="2">
                  <c:v>2016</c:v>
                </c:pt>
                <c:pt idx="3">
                  <c:v>2017</c:v>
                </c:pt>
                <c:pt idx="4">
                  <c:v>2018</c:v>
                </c:pt>
                <c:pt idx="5">
                  <c:v>2019</c:v>
                </c:pt>
                <c:pt idx="6">
                  <c:v>2020</c:v>
                </c:pt>
                <c:pt idx="7">
                  <c:v>2021</c:v>
                </c:pt>
                <c:pt idx="8">
                  <c:v>2022</c:v>
                </c:pt>
                <c:pt idx="9">
                  <c:v>2023</c:v>
                </c:pt>
                <c:pt idx="10">
                  <c:v>2024</c:v>
                </c:pt>
              </c:strCache>
            </c:strRef>
          </c:cat>
          <c:val>
            <c:numRef>
              <c:f>Sheet1!$B$2:$L$2</c:f>
              <c:numCache>
                <c:formatCode>#,##0.00</c:formatCode>
                <c:ptCount val="11"/>
                <c:pt idx="0">
                  <c:v>198126.91899999999</c:v>
                </c:pt>
                <c:pt idx="1">
                  <c:v>269159.641</c:v>
                </c:pt>
                <c:pt idx="2">
                  <c:v>371623.15</c:v>
                </c:pt>
                <c:pt idx="3">
                  <c:v>519395.70699999999</c:v>
                </c:pt>
                <c:pt idx="4">
                  <c:v>725165.17</c:v>
                </c:pt>
                <c:pt idx="5">
                  <c:v>998457.11899999995</c:v>
                </c:pt>
                <c:pt idx="6">
                  <c:v>1342677.459</c:v>
                </c:pt>
                <c:pt idx="7">
                  <c:v>1748906.1310000001</c:v>
                </c:pt>
                <c:pt idx="8">
                  <c:v>2198655.3629999999</c:v>
                </c:pt>
                <c:pt idx="9">
                  <c:v>2673242.378</c:v>
                </c:pt>
                <c:pt idx="10">
                  <c:v>3164372.6320000002</c:v>
                </c:pt>
              </c:numCache>
            </c:numRef>
          </c:val>
        </c:ser>
        <c:dLbls>
          <c:showLegendKey val="0"/>
          <c:showVal val="0"/>
          <c:showCatName val="0"/>
          <c:showSerName val="0"/>
          <c:showPercent val="0"/>
          <c:showBubbleSize val="0"/>
        </c:dLbls>
        <c:gapWidth val="150"/>
        <c:overlap val="100"/>
        <c:axId val="50158976"/>
        <c:axId val="50562176"/>
      </c:barChart>
      <c:catAx>
        <c:axId val="5015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62176"/>
        <c:crosses val="autoZero"/>
        <c:auto val="1"/>
        <c:lblAlgn val="ctr"/>
        <c:lblOffset val="100"/>
        <c:noMultiLvlLbl val="0"/>
      </c:catAx>
      <c:valAx>
        <c:axId val="50562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Global M2M traffic (Petabytes/annum)</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58976"/>
        <c:crosses val="autoZero"/>
        <c:crossBetween val="between"/>
        <c:dispUnits>
          <c:builtInUnit val="thousands"/>
        </c:dispUnits>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2014</c:v>
                </c:pt>
              </c:strCache>
            </c:strRef>
          </c:tx>
          <c:spPr>
            <a:solidFill>
              <a:schemeClr val="accent1"/>
            </a:solidFill>
            <a:ln>
              <a:noFill/>
            </a:ln>
            <a:effectLst/>
          </c:spPr>
          <c:invertIfNegative val="0"/>
          <c:cat>
            <c:strRef>
              <c:f>Sheet1!$A$2:$A$5</c:f>
              <c:strCache>
                <c:ptCount val="4"/>
                <c:pt idx="0">
                  <c:v>Cell A</c:v>
                </c:pt>
                <c:pt idx="1">
                  <c:v>Cell B</c:v>
                </c:pt>
                <c:pt idx="2">
                  <c:v>Cell C</c:v>
                </c:pt>
                <c:pt idx="3">
                  <c:v>Cell D</c:v>
                </c:pt>
              </c:strCache>
            </c:strRef>
          </c:cat>
          <c:val>
            <c:numRef>
              <c:f>Sheet1!$B$2:$B$5</c:f>
              <c:numCache>
                <c:formatCode>0%</c:formatCode>
                <c:ptCount val="4"/>
                <c:pt idx="0">
                  <c:v>0.14244260243628215</c:v>
                </c:pt>
                <c:pt idx="1">
                  <c:v>0.21801956831694347</c:v>
                </c:pt>
                <c:pt idx="2">
                  <c:v>0.10483263309368351</c:v>
                </c:pt>
                <c:pt idx="3">
                  <c:v>9.9340148529425853E-2</c:v>
                </c:pt>
              </c:numCache>
            </c:numRef>
          </c:val>
        </c:ser>
        <c:ser>
          <c:idx val="1"/>
          <c:order val="1"/>
          <c:tx>
            <c:strRef>
              <c:f>Sheet1!$C$1</c:f>
              <c:strCache>
                <c:ptCount val="1"/>
                <c:pt idx="0">
                  <c:v>2024</c:v>
                </c:pt>
              </c:strCache>
            </c:strRef>
          </c:tx>
          <c:spPr>
            <a:solidFill>
              <a:schemeClr val="accent2"/>
            </a:solidFill>
            <a:ln>
              <a:noFill/>
            </a:ln>
            <a:effectLst/>
          </c:spPr>
          <c:invertIfNegative val="0"/>
          <c:cat>
            <c:strRef>
              <c:f>Sheet1!$A$2:$A$5</c:f>
              <c:strCache>
                <c:ptCount val="4"/>
                <c:pt idx="0">
                  <c:v>Cell A</c:v>
                </c:pt>
                <c:pt idx="1">
                  <c:v>Cell B</c:v>
                </c:pt>
                <c:pt idx="2">
                  <c:v>Cell C</c:v>
                </c:pt>
                <c:pt idx="3">
                  <c:v>Cell D</c:v>
                </c:pt>
              </c:strCache>
            </c:strRef>
          </c:cat>
          <c:val>
            <c:numRef>
              <c:f>Sheet1!$C$2:$C$5</c:f>
              <c:numCache>
                <c:formatCode>0%</c:formatCode>
                <c:ptCount val="4"/>
                <c:pt idx="0">
                  <c:v>0.43674456075145462</c:v>
                </c:pt>
                <c:pt idx="1">
                  <c:v>0.97123160157107291</c:v>
                </c:pt>
                <c:pt idx="2">
                  <c:v>0.14105174160492373</c:v>
                </c:pt>
                <c:pt idx="3">
                  <c:v>0.11480726141467046</c:v>
                </c:pt>
              </c:numCache>
            </c:numRef>
          </c:val>
        </c:ser>
        <c:dLbls>
          <c:showLegendKey val="0"/>
          <c:showVal val="0"/>
          <c:showCatName val="0"/>
          <c:showSerName val="0"/>
          <c:showPercent val="0"/>
          <c:showBubbleSize val="0"/>
        </c:dLbls>
        <c:gapWidth val="219"/>
        <c:overlap val="-27"/>
        <c:axId val="69400448"/>
        <c:axId val="80232448"/>
      </c:barChart>
      <c:catAx>
        <c:axId val="6940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232448"/>
        <c:crosses val="autoZero"/>
        <c:auto val="1"/>
        <c:lblAlgn val="ctr"/>
        <c:lblOffset val="100"/>
        <c:noMultiLvlLbl val="0"/>
      </c:catAx>
      <c:valAx>
        <c:axId val="80232448"/>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Traffic uplift</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400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FA29-1DEF-4B09-9911-52B86F28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20111121 v1.dotx</Template>
  <TotalTime>3</TotalTime>
  <Pages>12</Pages>
  <Words>4007</Words>
  <Characters>21483</Characters>
  <Application>Microsoft Office Word</Application>
  <DocSecurity>0</DocSecurity>
  <Lines>447</Lines>
  <Paragraphs>212</Paragraphs>
  <ScaleCrop>false</ScaleCrop>
  <HeadingPairs>
    <vt:vector size="2" baseType="variant">
      <vt:variant>
        <vt:lpstr>Title</vt:lpstr>
      </vt:variant>
      <vt:variant>
        <vt:i4>1</vt:i4>
      </vt:variant>
    </vt:vector>
  </HeadingPairs>
  <TitlesOfParts>
    <vt:vector size="1" baseType="lpstr">
      <vt:lpstr>M2M growth necessitates a new approach to network planning and optimisation</vt:lpstr>
    </vt:vector>
  </TitlesOfParts>
  <Company>Machina Research</Company>
  <LinksUpToDate>false</LinksUpToDate>
  <CharactersWithSpaces>25278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M2M growth necessitates a new approach to network planning and optimisation</dc:title>
  <dc:creator>Matt Hatton</dc:creator>
  <cp:lastModifiedBy>Gavin Hayhurst</cp:lastModifiedBy>
  <cp:revision>4</cp:revision>
  <cp:lastPrinted>2015-05-19T07:24:00Z</cp:lastPrinted>
  <dcterms:created xsi:type="dcterms:W3CDTF">2015-05-19T07:22:00Z</dcterms:created>
  <dcterms:modified xsi:type="dcterms:W3CDTF">2015-05-19T07:24:00Z</dcterms:modified>
</cp:coreProperties>
</file>